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9" w:type="dxa"/>
        <w:tblInd w:w="-5" w:type="dxa"/>
        <w:tblLook w:val="0000" w:firstRow="0" w:lastRow="0" w:firstColumn="0" w:lastColumn="0" w:noHBand="0" w:noVBand="0"/>
      </w:tblPr>
      <w:tblGrid>
        <w:gridCol w:w="3420"/>
        <w:gridCol w:w="6269"/>
      </w:tblGrid>
      <w:tr w:rsidR="000022E3">
        <w:trPr>
          <w:trHeight w:val="426"/>
        </w:trPr>
        <w:tc>
          <w:tcPr>
            <w:tcW w:w="3420" w:type="dxa"/>
          </w:tcPr>
          <w:p w:rsidR="000022E3" w:rsidRDefault="0014466C">
            <w:pPr>
              <w:ind w:right="-108"/>
              <w:jc w:val="center"/>
              <w:rPr>
                <w:b/>
                <w:bCs/>
                <w:color w:val="000000"/>
                <w:sz w:val="25"/>
                <w:szCs w:val="25"/>
              </w:rPr>
            </w:pPr>
            <w:bookmarkStart w:id="0" w:name="_GoBack"/>
            <w:bookmarkEnd w:id="0"/>
            <w:r>
              <w:rPr>
                <w:color w:val="000000"/>
                <w:lang w:val="vi-VN"/>
              </w:rPr>
              <w:br w:type="page" w:clear="all"/>
            </w:r>
            <w:r>
              <w:rPr>
                <w:b/>
                <w:bCs/>
                <w:color w:val="000000"/>
                <w:sz w:val="25"/>
                <w:szCs w:val="25"/>
                <w:lang w:val="vi-VN"/>
              </w:rPr>
              <w:t>ỦY BAN NHÂN DÂN</w:t>
            </w:r>
          </w:p>
          <w:p w:rsidR="000022E3" w:rsidRDefault="0014466C">
            <w:pPr>
              <w:ind w:right="-108"/>
              <w:jc w:val="center"/>
              <w:rPr>
                <w:color w:val="000000"/>
                <w:sz w:val="25"/>
                <w:szCs w:val="25"/>
              </w:rPr>
            </w:pPr>
            <w:r>
              <w:rPr>
                <w:b/>
                <w:bCs/>
                <w:noProof/>
                <w:color w:val="000000"/>
              </w:rPr>
              <mc:AlternateContent>
                <mc:Choice Requires="wps">
                  <w:drawing>
                    <wp:anchor distT="0" distB="0" distL="114300" distR="114300" simplePos="0" relativeHeight="251657216" behindDoc="0" locked="0" layoutInCell="1" allowOverlap="1">
                      <wp:simplePos x="0" y="0"/>
                      <wp:positionH relativeFrom="column">
                        <wp:posOffset>760730</wp:posOffset>
                      </wp:positionH>
                      <wp:positionV relativeFrom="paragraph">
                        <wp:posOffset>237490</wp:posOffset>
                      </wp:positionV>
                      <wp:extent cx="599440" cy="0"/>
                      <wp:effectExtent l="8890" t="6350" r="10795" b="12700"/>
                      <wp:wrapNone/>
                      <wp:docPr id="1" name="Straight Connector 7"/>
                      <wp:cNvGraphicFramePr/>
                      <a:graphic xmlns:a="http://schemas.openxmlformats.org/drawingml/2006/main">
                        <a:graphicData uri="http://schemas.microsoft.com/office/word/2010/wordprocessingShape">
                          <wps:wsp>
                            <wps:cNvCnPr/>
                            <wps:spPr bwMode="auto">
                              <a:xfrm>
                                <a:off x="0" y="0"/>
                                <a:ext cx="59944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6596D9"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8.7pt" to="107.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" strokeweight="1pt"/>
                  </w:pict>
                </mc:Fallback>
              </mc:AlternateContent>
            </w:r>
            <w:r>
              <w:rPr>
                <w:b/>
                <w:bCs/>
                <w:color w:val="000000"/>
                <w:sz w:val="25"/>
                <w:szCs w:val="25"/>
              </w:rPr>
              <w:t>TỈNH TÂY NINH</w:t>
            </w:r>
          </w:p>
        </w:tc>
        <w:tc>
          <w:tcPr>
            <w:tcW w:w="6269" w:type="dxa"/>
          </w:tcPr>
          <w:p w:rsidR="000022E3" w:rsidRDefault="0014466C">
            <w:pPr>
              <w:ind w:right="-108"/>
              <w:jc w:val="center"/>
              <w:outlineLvl w:val="8"/>
              <w:rPr>
                <w:b/>
                <w:bCs/>
                <w:color w:val="000000"/>
                <w:sz w:val="25"/>
                <w:szCs w:val="25"/>
                <w:lang w:val="vi-VN"/>
              </w:rPr>
            </w:pPr>
            <w:r>
              <w:rPr>
                <w:b/>
                <w:bCs/>
                <w:color w:val="000000"/>
                <w:sz w:val="25"/>
                <w:szCs w:val="25"/>
                <w:lang w:val="vi-VN"/>
              </w:rPr>
              <w:t>CỘNG HÒA XÃ HỘI CHỦ NGHĨA VIỆT NAM</w:t>
            </w:r>
          </w:p>
          <w:p w:rsidR="000022E3" w:rsidRDefault="0014466C">
            <w:pPr>
              <w:ind w:right="-108"/>
              <w:jc w:val="center"/>
              <w:rPr>
                <w:b/>
                <w:bCs/>
                <w:color w:val="000000"/>
                <w:sz w:val="26"/>
                <w:szCs w:val="26"/>
              </w:rPr>
            </w:pPr>
            <w:r>
              <w:rPr>
                <w:b/>
                <w:bCs/>
                <w:color w:val="000000"/>
                <w:sz w:val="26"/>
                <w:szCs w:val="26"/>
              </w:rPr>
              <w:t>Độc lập - Tự do - Hạnh phúc</w:t>
            </w:r>
          </w:p>
          <w:p w:rsidR="000022E3" w:rsidRDefault="0014466C">
            <w:pPr>
              <w:ind w:right="-108"/>
              <w:jc w:val="center"/>
              <w:rPr>
                <w:color w:val="000000"/>
                <w:vertAlign w:val="superscript"/>
              </w:rPr>
            </w:pPr>
            <w:r>
              <w:rPr>
                <w:noProof/>
                <w:color w:val="000000"/>
              </w:rPr>
              <mc:AlternateContent>
                <mc:Choice Requires="wps">
                  <w:drawing>
                    <wp:anchor distT="0" distB="0" distL="114300" distR="114300" simplePos="0" relativeHeight="251656192" behindDoc="0" locked="0" layoutInCell="1" allowOverlap="1">
                      <wp:simplePos x="0" y="0"/>
                      <wp:positionH relativeFrom="margin">
                        <wp:posOffset>969010</wp:posOffset>
                      </wp:positionH>
                      <wp:positionV relativeFrom="paragraph">
                        <wp:posOffset>31750</wp:posOffset>
                      </wp:positionV>
                      <wp:extent cx="2018030" cy="0"/>
                      <wp:effectExtent l="7620" t="9525" r="12700" b="9525"/>
                      <wp:wrapNone/>
                      <wp:docPr id="2" name="Straight Connector 8"/>
                      <wp:cNvGraphicFramePr/>
                      <a:graphic xmlns:a="http://schemas.openxmlformats.org/drawingml/2006/main">
                        <a:graphicData uri="http://schemas.microsoft.com/office/word/2010/wordprocessingShape">
                          <wps:wsp>
                            <wps:cNvCnPr/>
                            <wps:spPr bwMode="auto">
                              <a:xfrm>
                                <a:off x="0" y="0"/>
                                <a:ext cx="201803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E829160" id="Straight Connector 8"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6.3pt,2.5pt" to="23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" strokeweight="1pt">
                      <w10:wrap anchorx="margin"/>
                    </v:line>
                  </w:pict>
                </mc:Fallback>
              </mc:AlternateContent>
            </w:r>
          </w:p>
        </w:tc>
      </w:tr>
      <w:tr w:rsidR="000022E3">
        <w:tc>
          <w:tcPr>
            <w:tcW w:w="3420" w:type="dxa"/>
          </w:tcPr>
          <w:p w:rsidR="000022E3" w:rsidRDefault="0014466C">
            <w:pPr>
              <w:keepNext/>
              <w:spacing w:after="120"/>
              <w:jc w:val="center"/>
              <w:outlineLvl w:val="2"/>
              <w:rPr>
                <w:i/>
                <w:color w:val="000000"/>
                <w:sz w:val="26"/>
                <w:szCs w:val="26"/>
                <w:vertAlign w:val="superscript"/>
                <w:lang w:val="vi-VN"/>
              </w:rPr>
            </w:pPr>
            <w:r>
              <w:rPr>
                <w:bCs/>
                <w:color w:val="000000"/>
                <w:sz w:val="26"/>
                <w:szCs w:val="26"/>
              </w:rPr>
              <w:t>Số:             /TTr-UBND</w:t>
            </w:r>
          </w:p>
        </w:tc>
        <w:tc>
          <w:tcPr>
            <w:tcW w:w="6269" w:type="dxa"/>
          </w:tcPr>
          <w:p w:rsidR="000022E3" w:rsidRPr="00D71676" w:rsidRDefault="0014466C" w:rsidP="00D71676">
            <w:pPr>
              <w:keepNext/>
              <w:spacing w:after="120"/>
              <w:ind w:right="-108"/>
              <w:jc w:val="center"/>
              <w:outlineLvl w:val="3"/>
              <w:rPr>
                <w:i/>
                <w:iCs/>
                <w:color w:val="000000"/>
                <w:sz w:val="26"/>
                <w:szCs w:val="26"/>
              </w:rPr>
            </w:pPr>
            <w:r>
              <w:rPr>
                <w:i/>
                <w:iCs/>
                <w:color w:val="000000"/>
                <w:sz w:val="26"/>
                <w:szCs w:val="26"/>
              </w:rPr>
              <w:t>Tây Ninh</w:t>
            </w:r>
            <w:r>
              <w:rPr>
                <w:i/>
                <w:iCs/>
                <w:color w:val="000000"/>
                <w:sz w:val="26"/>
                <w:szCs w:val="26"/>
                <w:lang w:val="vi-VN"/>
              </w:rPr>
              <w:t>,  ngày      tháng     năm 202</w:t>
            </w:r>
            <w:r w:rsidR="00D71676">
              <w:rPr>
                <w:i/>
                <w:iCs/>
                <w:color w:val="000000"/>
                <w:sz w:val="26"/>
                <w:szCs w:val="26"/>
              </w:rPr>
              <w:t>6</w:t>
            </w:r>
          </w:p>
        </w:tc>
      </w:tr>
    </w:tbl>
    <w:p w:rsidR="000022E3" w:rsidRDefault="0014466C">
      <w:pPr>
        <w:jc w:val="center"/>
        <w:rPr>
          <w:b/>
          <w:color w:val="000000"/>
          <w:sz w:val="8"/>
          <w:szCs w:val="32"/>
          <w:lang w:val="vi-VN"/>
        </w:rPr>
      </w:pPr>
      <w:r>
        <w:rPr>
          <w:b/>
          <w:noProof/>
          <w:color w:val="000000"/>
          <w:sz w:val="8"/>
          <w:szCs w:val="32"/>
        </w:rPr>
        <mc:AlternateContent>
          <mc:Choice Requires="wps">
            <w:drawing>
              <wp:anchor distT="0" distB="0" distL="114300" distR="114300" simplePos="0" relativeHeight="251659264" behindDoc="0" locked="0" layoutInCell="1" allowOverlap="1">
                <wp:simplePos x="0" y="0"/>
                <wp:positionH relativeFrom="column">
                  <wp:posOffset>483870</wp:posOffset>
                </wp:positionH>
                <wp:positionV relativeFrom="paragraph">
                  <wp:posOffset>39370</wp:posOffset>
                </wp:positionV>
                <wp:extent cx="1200150" cy="323850"/>
                <wp:effectExtent l="11430" t="10795" r="7620" b="825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23850"/>
                        </a:xfrm>
                        <a:prstGeom prst="rect">
                          <a:avLst/>
                        </a:prstGeom>
                        <a:noFill/>
                        <a:ln w="9525">
                          <a:solidFill>
                            <a:srgbClr val="000000"/>
                          </a:solidFill>
                          <a:miter lim="800000"/>
                          <a:headEnd/>
                          <a:tailEnd/>
                        </a:ln>
                      </wps:spPr>
                      <wps:txbx>
                        <w:txbxContent>
                          <w:p w:rsidR="000022E3" w:rsidRDefault="0014466C">
                            <w:pPr>
                              <w:spacing w:before="40"/>
                              <w:jc w:val="center"/>
                              <w:rPr>
                                <w:b/>
                                <w:bCs/>
                              </w:rPr>
                            </w:pPr>
                            <w:r>
                              <w:rPr>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8.1pt;margin-top:3.1pt;width:94.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" filled="f">
                <v:textbox>
                  <w:txbxContent>
                    <w:p w:rsidR="000022E3" w:rsidRDefault="0014466C">
                      <w:pPr>
                        <w:spacing w:before="40"/>
                        <w:jc w:val="center"/>
                        <w:rPr>
                          <w:b/>
                          <w:bCs/>
                        </w:rPr>
                      </w:pPr>
                      <w:r>
                        <w:rPr>
                          <w:b/>
                          <w:bCs/>
                        </w:rPr>
                        <w:t>DỰ THẢO</w:t>
                      </w:r>
                    </w:p>
                  </w:txbxContent>
                </v:textbox>
              </v:shape>
            </w:pict>
          </mc:Fallback>
        </mc:AlternateContent>
      </w:r>
    </w:p>
    <w:p w:rsidR="000022E3" w:rsidRDefault="000022E3">
      <w:pPr>
        <w:jc w:val="center"/>
        <w:rPr>
          <w:b/>
          <w:color w:val="000000"/>
          <w:sz w:val="28"/>
          <w:szCs w:val="28"/>
          <w:lang w:val="vi-VN"/>
        </w:rPr>
      </w:pPr>
    </w:p>
    <w:p w:rsidR="000022E3" w:rsidRDefault="0014466C">
      <w:pPr>
        <w:jc w:val="center"/>
        <w:rPr>
          <w:b/>
          <w:color w:val="000000"/>
          <w:sz w:val="28"/>
          <w:szCs w:val="28"/>
          <w:lang w:val="vi-VN"/>
        </w:rPr>
      </w:pPr>
      <w:r>
        <w:rPr>
          <w:b/>
          <w:color w:val="000000"/>
          <w:sz w:val="28"/>
          <w:szCs w:val="28"/>
          <w:lang w:val="vi-VN"/>
        </w:rPr>
        <w:t>TỜ TRÌNH</w:t>
      </w:r>
    </w:p>
    <w:p w:rsidR="003263A3" w:rsidRPr="001C6FC3" w:rsidRDefault="003263A3" w:rsidP="001C6FC3">
      <w:pPr>
        <w:jc w:val="center"/>
        <w:rPr>
          <w:b/>
          <w:color w:val="000000"/>
          <w:sz w:val="28"/>
          <w:szCs w:val="28"/>
        </w:rPr>
      </w:pPr>
      <w:r>
        <w:rPr>
          <w:b/>
          <w:color w:val="000000"/>
          <w:sz w:val="28"/>
          <w:szCs w:val="28"/>
          <w:lang w:val="vi-VN"/>
        </w:rPr>
        <w:t xml:space="preserve">Về việc </w:t>
      </w:r>
      <w:r w:rsidR="001C6FC3">
        <w:rPr>
          <w:b/>
          <w:color w:val="000000"/>
          <w:sz w:val="28"/>
          <w:szCs w:val="28"/>
        </w:rPr>
        <w:t xml:space="preserve">ban hành Nghi quyết </w:t>
      </w:r>
      <w:r w:rsidR="00D71676" w:rsidRPr="00D71676">
        <w:rPr>
          <w:b/>
          <w:color w:val="000000"/>
          <w:sz w:val="28"/>
          <w:szCs w:val="28"/>
          <w:lang w:val="vi-VN"/>
        </w:rPr>
        <w:t xml:space="preserve">bãi bỏ Nghị quyết số 19/2024/NQ-HĐND ngày 07/11/2024 của HĐND tỉnh Long An </w:t>
      </w:r>
      <w:r w:rsidR="00733760">
        <w:rPr>
          <w:b/>
          <w:color w:val="000000"/>
          <w:sz w:val="28"/>
          <w:szCs w:val="28"/>
        </w:rPr>
        <w:t xml:space="preserve">(nay là tỉnh Tây Ninh) </w:t>
      </w:r>
      <w:r>
        <w:rPr>
          <w:b/>
          <w:color w:val="000000"/>
          <w:sz w:val="28"/>
          <w:szCs w:val="28"/>
        </w:rPr>
        <w:t xml:space="preserve">về </w:t>
      </w:r>
      <w:r w:rsidR="00D71676" w:rsidRPr="00D71676">
        <w:rPr>
          <w:b/>
          <w:color w:val="000000"/>
          <w:sz w:val="28"/>
          <w:szCs w:val="28"/>
          <w:lang w:val="vi-VN"/>
        </w:rPr>
        <w:t>quy định mức tỷ lệ phần trăm (%) để xác định đơn giá th</w:t>
      </w:r>
      <w:r w:rsidR="001C6FC3">
        <w:rPr>
          <w:b/>
          <w:color w:val="000000"/>
          <w:sz w:val="28"/>
          <w:szCs w:val="28"/>
          <w:lang w:val="vi-VN"/>
        </w:rPr>
        <w:t xml:space="preserve">uê đất, đất xây dựng công trình </w:t>
      </w:r>
      <w:r w:rsidR="00D71676" w:rsidRPr="00D71676">
        <w:rPr>
          <w:b/>
          <w:color w:val="000000"/>
          <w:sz w:val="28"/>
          <w:szCs w:val="28"/>
          <w:lang w:val="vi-VN"/>
        </w:rPr>
        <w:t xml:space="preserve">ngầm, công trình ngầm nằm ngoài phần không gian sử dụng đất đã xác </w:t>
      </w:r>
    </w:p>
    <w:p w:rsidR="000022E3" w:rsidRDefault="00D71676" w:rsidP="00D71676">
      <w:pPr>
        <w:jc w:val="center"/>
        <w:rPr>
          <w:b/>
          <w:color w:val="000000"/>
          <w:sz w:val="28"/>
          <w:szCs w:val="28"/>
          <w:lang w:val="vi-VN"/>
        </w:rPr>
      </w:pPr>
      <w:r w:rsidRPr="00D71676">
        <w:rPr>
          <w:b/>
          <w:color w:val="000000"/>
          <w:sz w:val="28"/>
          <w:szCs w:val="28"/>
          <w:lang w:val="vi-VN"/>
        </w:rPr>
        <w:t xml:space="preserve">định cho người sử dụng đất, đất có mặt nước trên địa bàn tỉnh Long An </w:t>
      </w:r>
    </w:p>
    <w:p w:rsidR="000022E3" w:rsidRDefault="0014466C">
      <w:pPr>
        <w:spacing w:before="600" w:after="480"/>
        <w:jc w:val="center"/>
        <w:rPr>
          <w:color w:val="000000"/>
          <w:sz w:val="28"/>
          <w:szCs w:val="28"/>
        </w:rPr>
      </w:pPr>
      <w:r>
        <w:rPr>
          <w:noProof/>
          <w:color w:val="000000"/>
          <w:sz w:val="28"/>
          <w:szCs w:val="28"/>
        </w:rPr>
        <mc:AlternateContent>
          <mc:Choice Requires="wps">
            <w:drawing>
              <wp:anchor distT="0" distB="0" distL="114300" distR="114300" simplePos="0" relativeHeight="251658240" behindDoc="0" locked="0" layoutInCell="1" allowOverlap="1">
                <wp:simplePos x="0" y="0"/>
                <wp:positionH relativeFrom="margin">
                  <wp:posOffset>2079625</wp:posOffset>
                </wp:positionH>
                <wp:positionV relativeFrom="paragraph">
                  <wp:posOffset>34925</wp:posOffset>
                </wp:positionV>
                <wp:extent cx="1498600" cy="0"/>
                <wp:effectExtent l="6985" t="15240" r="8890" b="13335"/>
                <wp:wrapNone/>
                <wp:docPr id="4" name="Straight Connector 6"/>
                <wp:cNvGraphicFramePr/>
                <a:graphic xmlns:a="http://schemas.openxmlformats.org/drawingml/2006/main">
                  <a:graphicData uri="http://schemas.microsoft.com/office/word/2010/wordprocessingShape">
                    <wps:wsp>
                      <wps:cNvCnPr/>
                      <wps:spPr bwMode="auto">
                        <a:xfrm>
                          <a:off x="0" y="0"/>
                          <a:ext cx="1498600" cy="0"/>
                        </a:xfrm>
                        <a:prstGeom prst="line">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38A008"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3.75pt,2.75pt" to="281.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" strokeweight="1pt">
                <w10:wrap anchorx="margin"/>
              </v:line>
            </w:pict>
          </mc:Fallback>
        </mc:AlternateContent>
      </w:r>
      <w:r>
        <w:rPr>
          <w:color w:val="000000"/>
          <w:sz w:val="28"/>
          <w:szCs w:val="28"/>
          <w:lang w:val="vi-VN"/>
        </w:rPr>
        <w:t xml:space="preserve">Kính gửi: Hội đồng nhân dân </w:t>
      </w:r>
      <w:r>
        <w:rPr>
          <w:color w:val="000000"/>
          <w:sz w:val="28"/>
          <w:szCs w:val="28"/>
        </w:rPr>
        <w:t xml:space="preserve">tỉnh </w:t>
      </w:r>
    </w:p>
    <w:p w:rsidR="00D71676" w:rsidRDefault="0014466C" w:rsidP="00B27DD5">
      <w:pPr>
        <w:spacing w:before="80" w:after="80" w:line="22" w:lineRule="atLeast"/>
        <w:ind w:firstLine="709"/>
        <w:jc w:val="both"/>
        <w:rPr>
          <w:bCs/>
          <w:iCs/>
          <w:color w:val="000000"/>
          <w:sz w:val="28"/>
          <w:szCs w:val="28"/>
        </w:rPr>
      </w:pPr>
      <w:bookmarkStart w:id="1" w:name="_Hlk193354070"/>
      <w:r>
        <w:rPr>
          <w:color w:val="000000"/>
          <w:sz w:val="28"/>
          <w:szCs w:val="28"/>
          <w:shd w:val="clear" w:color="auto" w:fill="FFFFFF"/>
          <w:lang w:val="vi-VN"/>
        </w:rPr>
        <w:t>Thực hiện quy định của </w:t>
      </w:r>
      <w:r>
        <w:rPr>
          <w:bCs/>
          <w:iCs/>
          <w:color w:val="000000"/>
          <w:sz w:val="28"/>
          <w:szCs w:val="28"/>
          <w:lang w:val="vi-VN"/>
        </w:rPr>
        <w:t xml:space="preserve">Luật Ban hành văn bản quy phạm pháp luật ngày 19 tháng 02 năm 2025; Luật Sửa đổi, bổ sung một số điều của Luật Ban hành văn bản quy phạm pháp luật ngày 25 tháng 6 năm 2025; </w:t>
      </w:r>
    </w:p>
    <w:p w:rsidR="000022E3" w:rsidRDefault="0014466C" w:rsidP="00B27DD5">
      <w:pPr>
        <w:spacing w:before="80" w:after="80" w:line="22" w:lineRule="atLeast"/>
        <w:ind w:firstLine="709"/>
        <w:jc w:val="both"/>
        <w:rPr>
          <w:bCs/>
          <w:iCs/>
          <w:color w:val="000000"/>
          <w:sz w:val="28"/>
          <w:szCs w:val="28"/>
          <w:lang w:val="vi-VN"/>
        </w:rPr>
      </w:pPr>
      <w:r>
        <w:rPr>
          <w:bCs/>
          <w:iCs/>
          <w:color w:val="000000"/>
          <w:sz w:val="28"/>
          <w:szCs w:val="28"/>
          <w:lang w:val="vi-VN"/>
        </w:rPr>
        <w:t xml:space="preserve">Ủy ban nhân dân </w:t>
      </w:r>
      <w:r>
        <w:rPr>
          <w:bCs/>
          <w:iCs/>
          <w:color w:val="000000"/>
          <w:sz w:val="28"/>
          <w:szCs w:val="28"/>
        </w:rPr>
        <w:t xml:space="preserve">tỉnh </w:t>
      </w:r>
      <w:r w:rsidR="003263A3">
        <w:rPr>
          <w:bCs/>
          <w:iCs/>
          <w:color w:val="000000"/>
          <w:sz w:val="28"/>
          <w:szCs w:val="28"/>
          <w:lang w:val="vi-VN"/>
        </w:rPr>
        <w:t xml:space="preserve">kính trình </w:t>
      </w:r>
      <w:r>
        <w:rPr>
          <w:bCs/>
          <w:iCs/>
          <w:color w:val="000000"/>
          <w:sz w:val="28"/>
          <w:szCs w:val="28"/>
          <w:lang w:val="vi-VN"/>
        </w:rPr>
        <w:t xml:space="preserve">Hội đồng nhân dân </w:t>
      </w:r>
      <w:r>
        <w:rPr>
          <w:bCs/>
          <w:iCs/>
          <w:color w:val="000000"/>
          <w:sz w:val="28"/>
          <w:szCs w:val="28"/>
        </w:rPr>
        <w:t xml:space="preserve">tỉnh </w:t>
      </w:r>
      <w:r w:rsidR="003263A3" w:rsidRPr="003263A3">
        <w:rPr>
          <w:bCs/>
          <w:iCs/>
          <w:color w:val="000000"/>
          <w:sz w:val="28"/>
          <w:szCs w:val="28"/>
          <w:lang w:val="vi-VN"/>
        </w:rPr>
        <w:t>ban  hành  Nghị  quyết</w:t>
      </w:r>
      <w:r w:rsidR="003263A3">
        <w:rPr>
          <w:bCs/>
          <w:iCs/>
          <w:color w:val="000000"/>
          <w:sz w:val="28"/>
          <w:szCs w:val="28"/>
          <w:lang w:val="vi-VN"/>
        </w:rPr>
        <w:t xml:space="preserve"> </w:t>
      </w:r>
      <w:r w:rsidR="00D71676" w:rsidRPr="00D71676">
        <w:rPr>
          <w:color w:val="000000"/>
          <w:sz w:val="28"/>
          <w:szCs w:val="28"/>
          <w:lang w:val="vi-VN"/>
        </w:rPr>
        <w:t xml:space="preserve">bãi bỏ Nghị quyết số 19/2024/NQ-HĐND ngày 07/11/2024 của HĐND tỉnh Long An </w:t>
      </w:r>
      <w:r w:rsidR="003263A3">
        <w:rPr>
          <w:color w:val="000000"/>
          <w:sz w:val="28"/>
          <w:szCs w:val="28"/>
        </w:rPr>
        <w:t xml:space="preserve">về </w:t>
      </w:r>
      <w:r w:rsidR="00D71676" w:rsidRPr="00D71676">
        <w:rPr>
          <w:color w:val="000000"/>
          <w:sz w:val="28"/>
          <w:szCs w:val="28"/>
          <w:lang w:val="vi-VN"/>
        </w:rPr>
        <w:t>quy định mức tỷ lệ phần trăm (%) để xác định đơn giá thuê đất, đất xây dựng công trình ngầm, công trình ngầm nằm ngoài phần không gian sử dụng đất đã xác định cho người sử dụng đất, đất có mặt nước trên địa bàn tỉnh Long An</w:t>
      </w:r>
      <w:r w:rsidR="003263A3">
        <w:rPr>
          <w:color w:val="000000"/>
          <w:sz w:val="28"/>
          <w:szCs w:val="28"/>
        </w:rPr>
        <w:t xml:space="preserve"> (nay là tỉnh Tây Ninh)</w:t>
      </w:r>
      <w:r>
        <w:rPr>
          <w:color w:val="000000"/>
          <w:sz w:val="28"/>
          <w:szCs w:val="28"/>
        </w:rPr>
        <w:t xml:space="preserve">, </w:t>
      </w:r>
      <w:r>
        <w:rPr>
          <w:bCs/>
          <w:iCs/>
          <w:color w:val="000000"/>
          <w:sz w:val="28"/>
          <w:szCs w:val="28"/>
          <w:lang w:val="vi-VN"/>
        </w:rPr>
        <w:t>như sau:</w:t>
      </w:r>
    </w:p>
    <w:p w:rsidR="000022E3" w:rsidRDefault="0014466C" w:rsidP="00B27DD5">
      <w:pPr>
        <w:spacing w:before="80" w:after="80" w:line="22" w:lineRule="atLeast"/>
        <w:ind w:firstLine="709"/>
        <w:jc w:val="both"/>
        <w:rPr>
          <w:b/>
          <w:iCs/>
          <w:color w:val="000000"/>
          <w:sz w:val="28"/>
          <w:szCs w:val="28"/>
          <w:lang w:val="vi-VN"/>
        </w:rPr>
      </w:pPr>
      <w:r>
        <w:rPr>
          <w:b/>
          <w:iCs/>
          <w:color w:val="000000"/>
          <w:sz w:val="28"/>
          <w:szCs w:val="28"/>
          <w:lang w:val="vi-VN"/>
        </w:rPr>
        <w:t xml:space="preserve">I. </w:t>
      </w:r>
      <w:r>
        <w:rPr>
          <w:b/>
          <w:iCs/>
          <w:color w:val="000000"/>
          <w:sz w:val="28"/>
          <w:szCs w:val="28"/>
        </w:rPr>
        <w:t>SỰ CẦN THIẾT</w:t>
      </w:r>
      <w:r>
        <w:rPr>
          <w:b/>
          <w:iCs/>
          <w:color w:val="000000"/>
          <w:sz w:val="28"/>
          <w:szCs w:val="28"/>
          <w:lang w:val="vi-VN"/>
        </w:rPr>
        <w:t xml:space="preserve"> BAN HÀNH NGHỊ QUYẾT</w:t>
      </w:r>
    </w:p>
    <w:p w:rsidR="00BD6DF8" w:rsidRPr="00BD6DF8" w:rsidRDefault="00BD6DF8" w:rsidP="00B27DD5">
      <w:pPr>
        <w:shd w:val="clear" w:color="auto" w:fill="FFFFFF"/>
        <w:spacing w:before="80" w:after="80" w:line="22" w:lineRule="atLeast"/>
        <w:ind w:firstLine="709"/>
        <w:jc w:val="both"/>
        <w:rPr>
          <w:b/>
          <w:sz w:val="28"/>
          <w:szCs w:val="28"/>
          <w:lang w:val="nl-NL"/>
        </w:rPr>
      </w:pPr>
      <w:r w:rsidRPr="00BD6DF8">
        <w:rPr>
          <w:b/>
          <w:sz w:val="28"/>
          <w:szCs w:val="28"/>
          <w:lang w:val="nl-NL"/>
        </w:rPr>
        <w:t>1. Cơ sở pháp lý</w:t>
      </w:r>
    </w:p>
    <w:p w:rsidR="00D71676" w:rsidRPr="007544A8" w:rsidRDefault="00D71676" w:rsidP="00B27DD5">
      <w:pPr>
        <w:shd w:val="clear" w:color="auto" w:fill="FFFFFF"/>
        <w:spacing w:before="80" w:after="80" w:line="22" w:lineRule="atLeast"/>
        <w:ind w:firstLine="709"/>
        <w:jc w:val="both"/>
        <w:rPr>
          <w:sz w:val="28"/>
          <w:szCs w:val="28"/>
          <w:lang w:val="nl-NL"/>
        </w:rPr>
      </w:pPr>
      <w:r>
        <w:rPr>
          <w:sz w:val="28"/>
          <w:szCs w:val="28"/>
          <w:lang w:val="nl-NL"/>
        </w:rPr>
        <w:t xml:space="preserve">- </w:t>
      </w:r>
      <w:r w:rsidRPr="007544A8">
        <w:rPr>
          <w:sz w:val="28"/>
          <w:szCs w:val="28"/>
          <w:lang w:val="nl-NL"/>
        </w:rPr>
        <w:t xml:space="preserve">Nghị định số 103/2024/NĐ-CP ngày 30/7/2024 của Chính phủ quy định về </w:t>
      </w:r>
      <w:r>
        <w:rPr>
          <w:sz w:val="28"/>
          <w:szCs w:val="28"/>
          <w:lang w:val="nl-NL"/>
        </w:rPr>
        <w:t>tiền sử dụng đất, tiền thuê đất;</w:t>
      </w:r>
      <w:r w:rsidRPr="007544A8">
        <w:rPr>
          <w:sz w:val="28"/>
          <w:szCs w:val="28"/>
          <w:lang w:val="nl-NL"/>
        </w:rPr>
        <w:t xml:space="preserve">   </w:t>
      </w:r>
    </w:p>
    <w:p w:rsidR="00D71676" w:rsidRPr="00223753" w:rsidRDefault="00D71676" w:rsidP="00B27DD5">
      <w:pPr>
        <w:tabs>
          <w:tab w:val="left" w:pos="2552"/>
        </w:tabs>
        <w:spacing w:before="80" w:after="80" w:line="22" w:lineRule="atLeast"/>
        <w:ind w:firstLine="709"/>
        <w:jc w:val="both"/>
        <w:rPr>
          <w:iCs/>
          <w:sz w:val="28"/>
          <w:szCs w:val="28"/>
        </w:rPr>
      </w:pPr>
      <w:r>
        <w:rPr>
          <w:iCs/>
          <w:sz w:val="28"/>
          <w:szCs w:val="28"/>
        </w:rPr>
        <w:t xml:space="preserve">- </w:t>
      </w:r>
      <w:r w:rsidRPr="003D6CD2">
        <w:rPr>
          <w:iCs/>
          <w:sz w:val="28"/>
          <w:szCs w:val="28"/>
        </w:rPr>
        <w:t>Nghị định số 291/2025/NĐ-CP ngày 06/11/2024 của Chính phủ về việc Sửa đổi, bổ sung một số điều của Nghị định số 103/2024/NĐ-CP ngày 30 tháng 7 năm 2024 của Chính phủ quy định về tiền sử dụng đất, tiền thuê đất và Nghị định số 104/2024/NĐ-CP ngày 31 tháng 7 năm 2024 của Chính phủ q</w:t>
      </w:r>
      <w:r>
        <w:rPr>
          <w:iCs/>
          <w:sz w:val="28"/>
          <w:szCs w:val="28"/>
        </w:rPr>
        <w:t>uy định về Quỹ phát triển đất.</w:t>
      </w:r>
    </w:p>
    <w:p w:rsidR="00D71676" w:rsidRDefault="00D71676" w:rsidP="00B27DD5">
      <w:pPr>
        <w:spacing w:before="80" w:after="80" w:line="22" w:lineRule="atLeast"/>
        <w:ind w:firstLine="709"/>
        <w:jc w:val="both"/>
        <w:rPr>
          <w:bCs/>
          <w:iCs/>
          <w:color w:val="000000"/>
          <w:sz w:val="28"/>
          <w:szCs w:val="28"/>
        </w:rPr>
      </w:pPr>
      <w:r>
        <w:rPr>
          <w:b/>
          <w:iCs/>
          <w:color w:val="000000"/>
          <w:sz w:val="28"/>
          <w:szCs w:val="28"/>
          <w:lang w:val="vi-VN"/>
        </w:rPr>
        <w:t xml:space="preserve">2. </w:t>
      </w:r>
      <w:r>
        <w:rPr>
          <w:b/>
          <w:iCs/>
          <w:color w:val="000000"/>
          <w:spacing w:val="-2"/>
          <w:sz w:val="28"/>
          <w:szCs w:val="28"/>
          <w:lang w:val="nl-NL"/>
        </w:rPr>
        <w:t>Cơ sở thực tiễn</w:t>
      </w:r>
    </w:p>
    <w:p w:rsidR="00D71676" w:rsidRPr="00960230" w:rsidRDefault="00D71676" w:rsidP="00B27DD5">
      <w:pPr>
        <w:spacing w:before="80" w:after="80" w:line="22" w:lineRule="atLeast"/>
        <w:ind w:right="-30" w:firstLine="720"/>
        <w:jc w:val="both"/>
        <w:rPr>
          <w:color w:val="000000"/>
          <w:sz w:val="28"/>
          <w:szCs w:val="28"/>
        </w:rPr>
      </w:pPr>
      <w:r w:rsidRPr="00960230">
        <w:rPr>
          <w:color w:val="000000"/>
          <w:sz w:val="28"/>
          <w:szCs w:val="28"/>
        </w:rPr>
        <w:t>Hiện nay, cơ sở để tính đơn giá thuê đất, đất xây dựng công trình ngầm, công trình ngầm nằm ngoài phần không gian sử dụng đất đã xác định cho người sử dụng đất, đất có mặt nước trên địa bàn tỉnh Long An (trước sáp nhập) đã được HĐND tỉnh thông qua tại Nghị quyết số 19/2024/NQ-HĐND ngày 07/11/2024 (UBND tỉnh triển khai tại Quyết định số 62/2024/QĐ-UBND ngày 05/12/2024);</w:t>
      </w:r>
    </w:p>
    <w:p w:rsidR="00D71676" w:rsidRPr="00960230" w:rsidRDefault="00D71676" w:rsidP="00B27DD5">
      <w:pPr>
        <w:spacing w:before="80" w:after="80" w:line="22" w:lineRule="atLeast"/>
        <w:ind w:right="-30" w:firstLine="720"/>
        <w:jc w:val="both"/>
        <w:rPr>
          <w:color w:val="000000"/>
          <w:sz w:val="28"/>
          <w:szCs w:val="28"/>
        </w:rPr>
      </w:pPr>
      <w:r w:rsidRPr="00960230">
        <w:rPr>
          <w:color w:val="000000"/>
          <w:sz w:val="28"/>
          <w:szCs w:val="28"/>
        </w:rPr>
        <w:t xml:space="preserve">Đơn giá thuê đất, đất xây dựng công trình ngầm, công trình ngầm nằm ngoài phần không gian sử dụng đất đã xác định cho người sử dụng đất, đất có mặt nước trên địa bàn tỉnh Tây Ninh (trước sáp nhập) đã được HĐND tỉnh thông qua tại Nghị </w:t>
      </w:r>
      <w:r w:rsidRPr="00960230">
        <w:rPr>
          <w:color w:val="000000"/>
          <w:sz w:val="28"/>
          <w:szCs w:val="28"/>
        </w:rPr>
        <w:lastRenderedPageBreak/>
        <w:t>quyết số 199/NQ-HĐND ngày 06/12/2024 (UBND tỉnh triển khai tại Quyết định số 41/2025/QĐ-UBND ngày 23/5/2025);</w:t>
      </w:r>
    </w:p>
    <w:p w:rsidR="00D71676" w:rsidRPr="00960230" w:rsidRDefault="00D71676" w:rsidP="00B27DD5">
      <w:pPr>
        <w:spacing w:before="80" w:after="80" w:line="22" w:lineRule="atLeast"/>
        <w:ind w:right="-30" w:firstLine="720"/>
        <w:jc w:val="both"/>
        <w:rPr>
          <w:color w:val="000000"/>
          <w:sz w:val="28"/>
          <w:szCs w:val="28"/>
        </w:rPr>
      </w:pPr>
      <w:r w:rsidRPr="00960230">
        <w:rPr>
          <w:color w:val="000000"/>
          <w:sz w:val="28"/>
          <w:szCs w:val="28"/>
        </w:rPr>
        <w:t xml:space="preserve">Ngày 07/8/2025, Hội đồng nhân dân tỉnh Tây Ninh sau sáp nhập ban hành Nghị quyết số 10/NQ-HĐND về việc áp dụng các Nghị quyết quy phạm pháp luật của Hội đồng nhân dân tỉnh trên địa bàn tỉnh Tây Ninh. Theo đó, </w:t>
      </w:r>
      <w:r w:rsidRPr="00960230">
        <w:rPr>
          <w:i/>
          <w:color w:val="000000"/>
          <w:sz w:val="28"/>
          <w:szCs w:val="28"/>
        </w:rPr>
        <w:t>“Nghị quyết này hết hiệu lực chung kể từ ngày 01/03/2027; đối với từng nghị quyết trong Phụ lục Danh mục kèm theo Nghị quyết này sẽ hết hiệu lực theo thời gian ghi trong nghị quyết hoặc khi có Nghị quyết bãi bỏ, sửa đổi, bổ sung, thay thế theo quy định pháp luật</w:t>
      </w:r>
      <w:r w:rsidRPr="00960230">
        <w:rPr>
          <w:color w:val="000000"/>
          <w:sz w:val="28"/>
          <w:szCs w:val="28"/>
        </w:rPr>
        <w:t>”.</w:t>
      </w:r>
    </w:p>
    <w:p w:rsidR="00D71676" w:rsidRPr="00960230" w:rsidRDefault="00D71676" w:rsidP="00B27DD5">
      <w:pPr>
        <w:spacing w:before="80" w:after="80" w:line="22" w:lineRule="atLeast"/>
        <w:ind w:firstLine="567"/>
        <w:jc w:val="both"/>
        <w:rPr>
          <w:sz w:val="28"/>
          <w:szCs w:val="28"/>
          <w:lang w:eastAsia="zh-CN"/>
        </w:rPr>
      </w:pPr>
      <w:r w:rsidRPr="00960230">
        <w:rPr>
          <w:sz w:val="28"/>
          <w:szCs w:val="28"/>
          <w:lang w:val="nl-NL"/>
        </w:rPr>
        <w:t xml:space="preserve">Theo quy định tại khoản 1 Điều 44 </w:t>
      </w:r>
      <w:r w:rsidRPr="00960230">
        <w:rPr>
          <w:sz w:val="28"/>
          <w:szCs w:val="28"/>
          <w:lang w:eastAsia="zh-CN"/>
        </w:rPr>
        <w:t xml:space="preserve">Nghị định số 103/2024/NĐ-CP quy định trách nhiệm của cơ quan tài chính: </w:t>
      </w:r>
      <w:r w:rsidRPr="00960230">
        <w:rPr>
          <w:i/>
          <w:sz w:val="28"/>
          <w:szCs w:val="28"/>
          <w:lang w:eastAsia="zh-CN"/>
        </w:rPr>
        <w:t>“Chủ trì xây dựng và trình UBND cấp tỉnh quy định mức tỷ lệ (%) cụ thể để xác định đơn giá thuê đất; mức tỷ lệ (%) để tính tiền thuê đối với đất xây dựng công trình ngầm, công trình ngầm nằm ngoài phần không gian sử dụng đất đã xác định cho người sử dụng đất, đất có mặt nước theo quy định tại Điều 26</w:t>
      </w:r>
      <w:r w:rsidRPr="00960230">
        <w:rPr>
          <w:i/>
          <w:sz w:val="28"/>
          <w:szCs w:val="28"/>
          <w:vertAlign w:val="superscript"/>
          <w:lang w:eastAsia="zh-CN"/>
        </w:rPr>
        <w:footnoteReference w:id="1"/>
      </w:r>
      <w:r w:rsidRPr="00960230">
        <w:rPr>
          <w:i/>
          <w:sz w:val="28"/>
          <w:szCs w:val="28"/>
          <w:lang w:eastAsia="zh-CN"/>
        </w:rPr>
        <w:t>, 27</w:t>
      </w:r>
      <w:r w:rsidRPr="00960230">
        <w:rPr>
          <w:i/>
          <w:sz w:val="28"/>
          <w:szCs w:val="28"/>
          <w:vertAlign w:val="superscript"/>
          <w:lang w:eastAsia="zh-CN"/>
        </w:rPr>
        <w:footnoteReference w:id="2"/>
      </w:r>
      <w:r w:rsidRPr="00960230">
        <w:rPr>
          <w:i/>
          <w:sz w:val="28"/>
          <w:szCs w:val="28"/>
          <w:lang w:eastAsia="zh-CN"/>
        </w:rPr>
        <w:t xml:space="preserve"> và 28</w:t>
      </w:r>
      <w:r w:rsidRPr="00960230">
        <w:rPr>
          <w:i/>
          <w:sz w:val="28"/>
          <w:szCs w:val="28"/>
          <w:vertAlign w:val="superscript"/>
          <w:lang w:eastAsia="zh-CN"/>
        </w:rPr>
        <w:footnoteReference w:id="3"/>
      </w:r>
      <w:r w:rsidRPr="00960230">
        <w:rPr>
          <w:i/>
          <w:sz w:val="28"/>
          <w:szCs w:val="28"/>
          <w:lang w:eastAsia="zh-CN"/>
        </w:rPr>
        <w:t xml:space="preserve"> Nghị định này”</w:t>
      </w:r>
      <w:r w:rsidRPr="00960230">
        <w:rPr>
          <w:sz w:val="28"/>
          <w:szCs w:val="28"/>
          <w:lang w:eastAsia="zh-CN"/>
        </w:rPr>
        <w:t xml:space="preserve"> và khoản 1 Điều 48 Nghị định số 103/2024/NĐ-CP quy định trách nhiệm của UBND cấp tỉnh: </w:t>
      </w:r>
      <w:r w:rsidRPr="00960230">
        <w:rPr>
          <w:i/>
          <w:sz w:val="28"/>
          <w:szCs w:val="28"/>
          <w:lang w:eastAsia="zh-CN"/>
        </w:rPr>
        <w:t xml:space="preserve">“Ban hành mức tỷ lệ (%) để tính đơn giá thuê đất, mức tỷ lệ (%) thu đối với đất xây dựng công trình ngầm, mức tỷ lệ (%) thu đối với đất có mặt nước và quyết định giá đất cụ thể theo thẩm quyền làm căn cứ để tính tiền sử dụng đất, tiền thuê đất.”. </w:t>
      </w:r>
      <w:r w:rsidRPr="00960230">
        <w:rPr>
          <w:sz w:val="28"/>
          <w:szCs w:val="28"/>
          <w:lang w:eastAsia="zh-CN"/>
        </w:rPr>
        <w:t>Tại Điều 26, Điều 27, Điều 28 Nghị định số 103/2024/NĐ-CP quy định UBND tỉnh quy định các mức tỷ lệ sau khi xin ý kiến của Hội đồng nhân dân cùng cấp.</w:t>
      </w:r>
    </w:p>
    <w:p w:rsidR="00D71676" w:rsidRDefault="00D71676" w:rsidP="00B27DD5">
      <w:pPr>
        <w:spacing w:before="80" w:after="80" w:line="22" w:lineRule="atLeast"/>
        <w:ind w:right="-30" w:firstLine="720"/>
        <w:jc w:val="both"/>
        <w:rPr>
          <w:color w:val="000000"/>
          <w:sz w:val="28"/>
          <w:szCs w:val="28"/>
        </w:rPr>
      </w:pPr>
      <w:r w:rsidRPr="00960230">
        <w:rPr>
          <w:color w:val="000000"/>
          <w:sz w:val="28"/>
          <w:szCs w:val="28"/>
        </w:rPr>
        <w:t xml:space="preserve">Đồng thời, ngày 29/12/2025 HĐND tỉnh ban hành Nghị quyết số 49/2025/NQ-HĐND về việc quy định Bảng giá đất trên địa bàn tỉnh Tây Ninh. Theo đó, Nghi quyết ngày có hiệu lực từ ngày 01/01/2026 và được xây dựng theo từng xã, phường và cụ thể cho từng tuyến đường, trong các tuyến đường phân thành nhiều đoạn và phân theo từng phạm vi tính (50 mét đầu, từ sau mét thứ 50 đến mét thứ 100, từ sau mét thứ 100 trở vào và bên trong) nên giá đất đã thể hiện chi tiết cho từng khu vực, tuyến đường. </w:t>
      </w:r>
    </w:p>
    <w:p w:rsidR="00BD6DF8" w:rsidRDefault="00D71676" w:rsidP="00B27DD5">
      <w:pPr>
        <w:spacing w:before="80" w:after="80" w:line="22" w:lineRule="atLeast"/>
        <w:ind w:firstLine="709"/>
        <w:jc w:val="both"/>
        <w:rPr>
          <w:color w:val="000000"/>
          <w:sz w:val="28"/>
          <w:szCs w:val="28"/>
        </w:rPr>
      </w:pPr>
      <w:r>
        <w:rPr>
          <w:color w:val="000000"/>
          <w:sz w:val="28"/>
          <w:szCs w:val="28"/>
        </w:rPr>
        <w:lastRenderedPageBreak/>
        <w:t xml:space="preserve">Do đó, cần ban hành quy định mới để áp dụng đồng bộ trên địa bàn tỉnh sau hợp nhất. </w:t>
      </w:r>
      <w:r w:rsidR="00BD6DF8">
        <w:rPr>
          <w:color w:val="000000"/>
          <w:sz w:val="28"/>
          <w:szCs w:val="28"/>
        </w:rPr>
        <w:t xml:space="preserve">Theo quy định trên UBND tỉnh đã giao cơ quan chuyên môn tham mưu UBND tỉnh trình HĐND tỉnh ban hành </w:t>
      </w:r>
      <w:r w:rsidR="00BD6DF8" w:rsidRPr="00BD6DF8">
        <w:rPr>
          <w:color w:val="000000"/>
          <w:sz w:val="28"/>
          <w:szCs w:val="28"/>
        </w:rPr>
        <w:t>Nghị quyết cho ý kiến ban hành quy định mức tỷ lệ (%) cụ thể để xác định đơn giá thuê đất; mức tỷ lệ (%) để tính tiền thuê đối với đất xây dựng công trình ngầm, công trình ngầm nằm ngoài phần không gian sử dụng đất đã xác định cho người sử dụng đất, đất có mặt nước trên địa bàn tỉnh Tây Ninh (thay thế Nghị quyết số 199/NQ-HĐND ngày 06/12/2024 của HĐND tỉnh Tây Ninh)</w:t>
      </w:r>
      <w:r w:rsidR="00BD6DF8">
        <w:rPr>
          <w:color w:val="000000"/>
          <w:sz w:val="28"/>
          <w:szCs w:val="28"/>
        </w:rPr>
        <w:t xml:space="preserve"> với hình thức </w:t>
      </w:r>
      <w:r w:rsidR="00FB5D20">
        <w:rPr>
          <w:color w:val="000000"/>
          <w:sz w:val="28"/>
          <w:szCs w:val="28"/>
        </w:rPr>
        <w:t>Nghị quyết</w:t>
      </w:r>
      <w:r w:rsidR="00BD6DF8">
        <w:rPr>
          <w:color w:val="000000"/>
          <w:sz w:val="28"/>
          <w:szCs w:val="28"/>
        </w:rPr>
        <w:t xml:space="preserve"> cá biệt.</w:t>
      </w:r>
    </w:p>
    <w:p w:rsidR="00D71676" w:rsidRDefault="00FB5D20" w:rsidP="00B27DD5">
      <w:pPr>
        <w:spacing w:before="80" w:after="80" w:line="22" w:lineRule="atLeast"/>
        <w:ind w:firstLine="709"/>
        <w:jc w:val="both"/>
        <w:rPr>
          <w:sz w:val="28"/>
          <w:szCs w:val="28"/>
        </w:rPr>
      </w:pPr>
      <w:r>
        <w:rPr>
          <w:color w:val="000000"/>
          <w:sz w:val="28"/>
          <w:szCs w:val="28"/>
        </w:rPr>
        <w:t>Vì vậy,</w:t>
      </w:r>
      <w:r w:rsidR="00D71676">
        <w:rPr>
          <w:color w:val="000000"/>
          <w:sz w:val="28"/>
          <w:szCs w:val="28"/>
        </w:rPr>
        <w:t xml:space="preserve"> cần thiết ban hành Nghị quyết quy phạm pháp luật bãi bỏ </w:t>
      </w:r>
      <w:r w:rsidR="00D71676" w:rsidRPr="00960230">
        <w:rPr>
          <w:color w:val="000000"/>
          <w:sz w:val="28"/>
          <w:szCs w:val="28"/>
        </w:rPr>
        <w:t>Nghị quyết số 19/2024/NQ-HĐND ngày 07/11/2024</w:t>
      </w:r>
      <w:r w:rsidR="00D71676">
        <w:rPr>
          <w:sz w:val="28"/>
          <w:szCs w:val="28"/>
        </w:rPr>
        <w:t xml:space="preserve"> của Hội đồng nhân dân tỉnh Long An để đảm bảo sự đồng bộ về quy định pháp luật.</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b/>
          <w:sz w:val="28"/>
          <w:szCs w:val="28"/>
          <w:lang w:val="nl-NL"/>
        </w:rPr>
      </w:pPr>
      <w:r w:rsidRPr="003263A3">
        <w:rPr>
          <w:rFonts w:eastAsia="SimSun"/>
          <w:b/>
          <w:sz w:val="28"/>
          <w:szCs w:val="28"/>
          <w:lang w:val="nl-NL"/>
        </w:rPr>
        <w:t>II.  MỤC  ĐÍCH  BAN  HÀNH,  QUAN  ĐIỂM  XÂY  DỰNG  DỰ  THẢO  NGHỊ  QUYẾT</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b/>
          <w:sz w:val="28"/>
          <w:szCs w:val="28"/>
          <w:lang w:val="nl-NL"/>
        </w:rPr>
      </w:pPr>
      <w:r w:rsidRPr="003263A3">
        <w:rPr>
          <w:rFonts w:eastAsia="SimSun"/>
          <w:b/>
          <w:sz w:val="28"/>
          <w:szCs w:val="28"/>
          <w:lang w:val="nl-NL"/>
        </w:rPr>
        <w:t>1.  Mục  đích  ban  hành  văn  bản</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sz w:val="28"/>
          <w:szCs w:val="28"/>
          <w:lang w:val="nb-NO"/>
        </w:rPr>
      </w:pPr>
      <w:r w:rsidRPr="003263A3">
        <w:rPr>
          <w:rFonts w:eastAsia="SimSun"/>
          <w:sz w:val="28"/>
          <w:szCs w:val="28"/>
          <w:lang w:val="nb-NO"/>
        </w:rPr>
        <w:t>-  Phù  hợp  với  tình  hình  thực  tiễn  và  các  quy  định  được  Trung  ương  ban  hành;</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sz w:val="28"/>
          <w:szCs w:val="28"/>
          <w:lang w:val="nb-NO"/>
        </w:rPr>
      </w:pPr>
      <w:r w:rsidRPr="003263A3">
        <w:rPr>
          <w:rFonts w:eastAsia="SimSun"/>
          <w:sz w:val="28"/>
          <w:szCs w:val="28"/>
          <w:lang w:val="nb-NO"/>
        </w:rPr>
        <w:t>-  Đảm  bảo  đồng  bộ  với  quy  định  pháp  luật  hiện  hành.</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b/>
          <w:sz w:val="28"/>
          <w:szCs w:val="28"/>
          <w:lang w:val="nl-NL"/>
        </w:rPr>
      </w:pPr>
      <w:r w:rsidRPr="003263A3">
        <w:rPr>
          <w:rFonts w:eastAsia="SimSun"/>
          <w:b/>
          <w:sz w:val="28"/>
          <w:szCs w:val="28"/>
          <w:lang w:val="nl-NL"/>
        </w:rPr>
        <w:t>2.  Quan  điểm  xây  dựng  văn  bản</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sz w:val="28"/>
          <w:szCs w:val="28"/>
          <w:lang w:val="nl-NL"/>
        </w:rPr>
      </w:pPr>
      <w:r w:rsidRPr="003263A3">
        <w:rPr>
          <w:rFonts w:eastAsia="SimSun"/>
          <w:sz w:val="28"/>
          <w:szCs w:val="28"/>
          <w:lang w:val="nl-NL"/>
        </w:rPr>
        <w:t xml:space="preserve">Việc  xây  dựng  văn  bản  quy  phạm  pháp  luật  theo  đúng  quy  định  của  </w:t>
      </w:r>
      <w:r w:rsidRPr="003263A3">
        <w:rPr>
          <w:rFonts w:eastAsia="SimSun"/>
          <w:bCs/>
          <w:sz w:val="28"/>
          <w:szCs w:val="28"/>
          <w:lang w:val="nl-NL"/>
        </w:rPr>
        <w:t>Luật  Ban  hành  văn  bản  quy  phạm  pháp  luật  số  64/2025/QH15,  được  sửa  đổi,  bổ  sung  tại  Luật  Sửa  đổi,  bổ  sung  một  số  điều  của  Luật  Ban  hành  văn  bản  quy  phạm  pháp  luật  số  87/2025/QH15,</w:t>
      </w:r>
      <w:r w:rsidRPr="003263A3">
        <w:rPr>
          <w:rFonts w:eastAsia="SimSun"/>
          <w:sz w:val="28"/>
          <w:szCs w:val="28"/>
          <w:lang w:val="nl-NL"/>
        </w:rPr>
        <w:t xml:space="preserve">  phù  hợp  với  chủ  trương,  đường  lối  của  Đảng,  chính  sách,  pháp  luật  của  Nhà  nước  và  phù  hợp  với  điều  kiện  thực  tiễn  của  địa  phương.</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b/>
          <w:sz w:val="28"/>
          <w:szCs w:val="28"/>
          <w:lang w:val="nl-NL"/>
        </w:rPr>
      </w:pPr>
      <w:r w:rsidRPr="003263A3">
        <w:rPr>
          <w:rFonts w:eastAsia="SimSun"/>
          <w:b/>
          <w:sz w:val="28"/>
          <w:szCs w:val="28"/>
          <w:lang w:val="nl-NL"/>
        </w:rPr>
        <w:t>III.  QUÁ  TRÌNH  XÂY  DỰNG  DỰ  THẢO  NGHỊ  QUYẾT</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sz w:val="28"/>
          <w:szCs w:val="28"/>
          <w:lang w:val="nl-NL"/>
        </w:rPr>
      </w:pPr>
      <w:r w:rsidRPr="003263A3">
        <w:rPr>
          <w:rFonts w:eastAsia="SimSun"/>
          <w:sz w:val="28"/>
          <w:szCs w:val="28"/>
          <w:lang w:val="nl-NL"/>
        </w:rPr>
        <w:t>Ngày 28/01/2026</w:t>
      </w:r>
      <w:r w:rsidRPr="003263A3">
        <w:rPr>
          <w:rFonts w:eastAsia="SimSun"/>
          <w:sz w:val="28"/>
          <w:szCs w:val="28"/>
        </w:rPr>
        <w:t>,</w:t>
      </w:r>
      <w:r w:rsidRPr="003263A3">
        <w:rPr>
          <w:rFonts w:eastAsia="SimSun"/>
          <w:sz w:val="28"/>
          <w:szCs w:val="28"/>
          <w:lang w:val="nl-NL"/>
        </w:rPr>
        <w:t xml:space="preserve">  Sở  Tài  chính  có  Công  văn  số..../STC-GCS  gửi  Uỷ  ban  MTTQ  Việt  Nam  tỉnh; Sở, ban, ngành, UBND  các  xã,  phường</w:t>
      </w:r>
      <w:r w:rsidRPr="003263A3">
        <w:rPr>
          <w:rFonts w:eastAsia="SimSun"/>
          <w:lang w:val="nl-NL"/>
        </w:rPr>
        <w:t xml:space="preserve">  </w:t>
      </w:r>
      <w:r w:rsidRPr="003263A3">
        <w:rPr>
          <w:rFonts w:eastAsia="SimSun"/>
          <w:sz w:val="28"/>
          <w:szCs w:val="28"/>
          <w:lang w:val="nl-NL"/>
        </w:rPr>
        <w:t xml:space="preserve">lấy  ý  kiến  góp  ý  và  đăng  tải  trên  Trang  thông  tin  điện  tử  đối  với  dự  thảo  Tờ  trình,  Nghị  quyết  bãi bỏ </w:t>
      </w:r>
      <w:r w:rsidRPr="003263A3">
        <w:rPr>
          <w:rFonts w:eastAsia="SimSun"/>
          <w:sz w:val="28"/>
          <w:szCs w:val="28"/>
        </w:rPr>
        <w:t>Nghị  quyết  số  19/2024/NQ-HDND  01  tháng  11  năm  2024  của  Hội  đồng  nhân  dân  tỉnh  Long An (nay là tỉnh Tây Ninh);</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sz w:val="28"/>
          <w:szCs w:val="28"/>
          <w:lang w:val="nl-NL"/>
        </w:rPr>
      </w:pPr>
      <w:r w:rsidRPr="003263A3">
        <w:rPr>
          <w:rFonts w:eastAsia="SimSun"/>
          <w:sz w:val="28"/>
          <w:szCs w:val="28"/>
          <w:lang w:val="nl-NL"/>
        </w:rPr>
        <w:t>-  Ngày</w:t>
      </w:r>
      <w:r w:rsidRPr="003263A3">
        <w:rPr>
          <w:rFonts w:eastAsia="SimSun"/>
          <w:sz w:val="28"/>
          <w:szCs w:val="28"/>
        </w:rPr>
        <w:t>…./2026</w:t>
      </w:r>
      <w:r w:rsidRPr="003263A3">
        <w:rPr>
          <w:rFonts w:eastAsia="SimSun"/>
          <w:sz w:val="28"/>
          <w:szCs w:val="28"/>
          <w:lang w:val="nl-NL"/>
        </w:rPr>
        <w:t xml:space="preserve">,  Sở  Tài  chính  có  Công  văn  </w:t>
      </w:r>
      <w:r w:rsidRPr="003263A3">
        <w:rPr>
          <w:rFonts w:eastAsia="SimSun"/>
          <w:sz w:val="28"/>
          <w:szCs w:val="28"/>
        </w:rPr>
        <w:t>số…../STC-GCS  gửi</w:t>
      </w:r>
      <w:r w:rsidRPr="003263A3">
        <w:rPr>
          <w:rFonts w:eastAsia="SimSun"/>
          <w:sz w:val="28"/>
          <w:szCs w:val="28"/>
          <w:lang w:val="nl-NL"/>
        </w:rPr>
        <w:t xml:space="preserve">  Sở  Tư  pháp</w:t>
      </w:r>
      <w:r w:rsidRPr="003263A3">
        <w:rPr>
          <w:rFonts w:eastAsia="SimSun"/>
          <w:sz w:val="28"/>
          <w:szCs w:val="28"/>
        </w:rPr>
        <w:t xml:space="preserve">  về  việc</w:t>
      </w:r>
      <w:r w:rsidRPr="003263A3">
        <w:rPr>
          <w:rFonts w:eastAsia="SimSun"/>
          <w:sz w:val="28"/>
          <w:szCs w:val="28"/>
          <w:lang w:val="nl-NL"/>
        </w:rPr>
        <w:t xml:space="preserve">  giải  trình  ý  kiến  góp  ý  và  đề  nghị  thẩm  định  dự  thảo  Tờ  trình  và  Nghị  quyết  số  19/2024/NQ-HDND  01  tháng  11  năm  2024 của  Hội  đồng  nhân  dân  tỉnh  Long An (nay là tỉnh Tây Ninh)</w:t>
      </w:r>
      <w:r w:rsidRPr="003263A3">
        <w:rPr>
          <w:rFonts w:eastAsia="SimSun"/>
          <w:sz w:val="28"/>
          <w:szCs w:val="28"/>
        </w:rPr>
        <w:t>;</w:t>
      </w:r>
    </w:p>
    <w:p w:rsidR="003263A3" w:rsidRPr="003263A3"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sz w:val="28"/>
          <w:szCs w:val="28"/>
          <w:lang w:val="nl-NL"/>
        </w:rPr>
      </w:pPr>
      <w:r w:rsidRPr="003263A3">
        <w:rPr>
          <w:rFonts w:eastAsia="SimSun"/>
          <w:sz w:val="28"/>
          <w:szCs w:val="28"/>
          <w:lang w:val="nl-NL"/>
        </w:rPr>
        <w:t>-  Ngày.....</w:t>
      </w:r>
      <w:r w:rsidRPr="003263A3">
        <w:rPr>
          <w:rFonts w:eastAsia="SimSun"/>
          <w:sz w:val="28"/>
          <w:szCs w:val="28"/>
        </w:rPr>
        <w:t>/2026</w:t>
      </w:r>
      <w:r w:rsidRPr="003263A3">
        <w:rPr>
          <w:rFonts w:eastAsia="SimSun"/>
          <w:sz w:val="28"/>
          <w:szCs w:val="28"/>
          <w:lang w:val="nl-NL"/>
        </w:rPr>
        <w:t xml:space="preserve">,  Sở  Tư  pháp  có  ý  kiến  thẩm  định  tại  </w:t>
      </w:r>
      <w:r w:rsidRPr="003263A3">
        <w:rPr>
          <w:rFonts w:eastAsia="SimSun"/>
          <w:sz w:val="28"/>
          <w:szCs w:val="28"/>
        </w:rPr>
        <w:t>Báo  cáo</w:t>
      </w:r>
      <w:r w:rsidRPr="003263A3">
        <w:rPr>
          <w:rFonts w:eastAsia="SimSun"/>
          <w:sz w:val="28"/>
          <w:szCs w:val="28"/>
          <w:lang w:val="nl-NL"/>
        </w:rPr>
        <w:t xml:space="preserve">  số</w:t>
      </w:r>
      <w:r w:rsidRPr="003263A3">
        <w:rPr>
          <w:rFonts w:eastAsia="SimSun"/>
          <w:sz w:val="28"/>
          <w:szCs w:val="28"/>
        </w:rPr>
        <w:t xml:space="preserve">    /BC-STP</w:t>
      </w:r>
      <w:r w:rsidRPr="003263A3">
        <w:rPr>
          <w:rFonts w:eastAsia="SimSun"/>
          <w:sz w:val="28"/>
          <w:szCs w:val="28"/>
          <w:lang w:val="nl-NL"/>
        </w:rPr>
        <w:t xml:space="preserve">  về  việc  thẩm  định  dự  thảo  Nghị  quyết. </w:t>
      </w:r>
    </w:p>
    <w:p w:rsidR="009F50CA" w:rsidRDefault="003263A3"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color w:val="000000"/>
          <w:sz w:val="28"/>
          <w:szCs w:val="28"/>
          <w:lang w:val="nl-NL"/>
        </w:rPr>
      </w:pPr>
      <w:r w:rsidRPr="003263A3">
        <w:rPr>
          <w:rFonts w:eastAsia="SimSun"/>
          <w:sz w:val="28"/>
          <w:szCs w:val="28"/>
          <w:lang w:val="nl-NL"/>
        </w:rPr>
        <w:t xml:space="preserve">-  </w:t>
      </w:r>
      <w:r w:rsidRPr="003263A3">
        <w:rPr>
          <w:rFonts w:eastAsia="SimSun"/>
          <w:color w:val="000000"/>
          <w:sz w:val="28"/>
          <w:szCs w:val="28"/>
          <w:lang w:val="nl-NL"/>
        </w:rPr>
        <w:t>Ngày....../2026,  Sở  Tài  chính  có  Công  văn  số....../STC-GCS  giải  trình,  tiếp  thu  các  nội  dung  thẩm  định  dự  thảo  văn  bản  pháp  luật.</w:t>
      </w:r>
    </w:p>
    <w:p w:rsidR="009F50CA"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color w:val="000000"/>
          <w:sz w:val="28"/>
          <w:szCs w:val="28"/>
          <w:lang w:val="nl-NL"/>
        </w:rPr>
      </w:pPr>
      <w:r>
        <w:rPr>
          <w:b/>
          <w:bCs/>
          <w:iCs/>
          <w:color w:val="000000"/>
          <w:sz w:val="28"/>
          <w:szCs w:val="28"/>
          <w:lang w:val="nl-NL"/>
        </w:rPr>
        <w:t>IV</w:t>
      </w:r>
      <w:r w:rsidR="0014466C">
        <w:rPr>
          <w:b/>
          <w:bCs/>
          <w:iCs/>
          <w:color w:val="000000"/>
          <w:sz w:val="28"/>
          <w:szCs w:val="28"/>
          <w:lang w:val="nl-NL"/>
        </w:rPr>
        <w:t>. BỐ CỤC VÀ NỘI DUNG CƠ BẢN CỦA NGHỊ QUYẾT</w:t>
      </w:r>
    </w:p>
    <w:p w:rsidR="009F50CA"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color w:val="000000"/>
          <w:sz w:val="28"/>
          <w:szCs w:val="28"/>
          <w:lang w:val="nl-NL"/>
        </w:rPr>
      </w:pPr>
      <w:r w:rsidRPr="00116B9C">
        <w:rPr>
          <w:b/>
          <w:bCs/>
          <w:sz w:val="28"/>
          <w:szCs w:val="28"/>
        </w:rPr>
        <w:t xml:space="preserve">Điều 1. </w:t>
      </w:r>
      <w:r w:rsidRPr="00116B9C">
        <w:rPr>
          <w:bCs/>
          <w:sz w:val="28"/>
          <w:szCs w:val="28"/>
        </w:rPr>
        <w:t xml:space="preserve">Bãi bỏ toàn bộ Nghị quyết số 19/2024/NQ-HĐND ngày 07/11/2024 của HĐND tỉnh Long An quy định mức tỷ lệ phần trăm (%) để xác </w:t>
      </w:r>
      <w:r w:rsidRPr="00116B9C">
        <w:rPr>
          <w:bCs/>
          <w:sz w:val="28"/>
          <w:szCs w:val="28"/>
        </w:rPr>
        <w:lastRenderedPageBreak/>
        <w:t>định đơn giá thuê đất, đất xây dựng công trình ngầm, công trình ngầm nằm ngoài phần không gian sử dụng đất đã xác định cho người sử dụng đất, đất có mặt nước trên địa bàn tỉnh Long An.</w:t>
      </w:r>
    </w:p>
    <w:p w:rsidR="009F50CA"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color w:val="000000"/>
          <w:sz w:val="28"/>
          <w:szCs w:val="28"/>
          <w:lang w:val="nl-NL"/>
        </w:rPr>
      </w:pPr>
      <w:r w:rsidRPr="00116B9C">
        <w:rPr>
          <w:b/>
          <w:sz w:val="28"/>
          <w:szCs w:val="20"/>
        </w:rPr>
        <w:t>Điều</w:t>
      </w:r>
      <w:r w:rsidRPr="00116B9C">
        <w:rPr>
          <w:b/>
          <w:sz w:val="28"/>
          <w:szCs w:val="20"/>
          <w:lang w:val="vi-VN"/>
        </w:rPr>
        <w:t xml:space="preserve"> 2</w:t>
      </w:r>
      <w:r w:rsidRPr="00116B9C">
        <w:rPr>
          <w:b/>
          <w:sz w:val="28"/>
          <w:szCs w:val="20"/>
        </w:rPr>
        <w:t>. Tổ chức thực hiện</w:t>
      </w:r>
    </w:p>
    <w:p w:rsidR="009F50CA"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color w:val="000000"/>
          <w:sz w:val="28"/>
          <w:szCs w:val="28"/>
          <w:lang w:val="nl-NL"/>
        </w:rPr>
      </w:pPr>
      <w:r w:rsidRPr="00116B9C">
        <w:rPr>
          <w:sz w:val="28"/>
          <w:szCs w:val="28"/>
        </w:rPr>
        <w:t>1. Giao Ủy ban nhân dân tỉnh tổ chức thực hiện Nghị quyết.</w:t>
      </w:r>
    </w:p>
    <w:p w:rsidR="009F50CA"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color w:val="000000"/>
          <w:sz w:val="28"/>
          <w:szCs w:val="28"/>
          <w:lang w:val="nl-NL"/>
        </w:rPr>
      </w:pPr>
      <w:r w:rsidRPr="00116B9C">
        <w:rPr>
          <w:sz w:val="28"/>
          <w:szCs w:val="28"/>
        </w:rPr>
        <w:t>2. Giao Thường trực Hội đồng nhân dân tỉnh, các Ban của Hội đồng nhân dân tỉnh, Tổ đại biểu Hội đồng nhân dân tỉnh và đại biểu Hội đồng nhân dân tỉnh giám sát việc thực hiện Nghị quyết này.</w:t>
      </w:r>
    </w:p>
    <w:p w:rsidR="009F50CA"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color w:val="000000"/>
          <w:sz w:val="28"/>
          <w:szCs w:val="28"/>
          <w:lang w:val="nl-NL"/>
        </w:rPr>
      </w:pPr>
      <w:r w:rsidRPr="00116B9C">
        <w:rPr>
          <w:sz w:val="28"/>
          <w:szCs w:val="28"/>
        </w:rPr>
        <w:t xml:space="preserve">3. </w:t>
      </w:r>
      <w:r w:rsidRPr="00116B9C">
        <w:rPr>
          <w:bCs/>
          <w:sz w:val="28"/>
          <w:szCs w:val="28"/>
        </w:rPr>
        <w:t>Đề nghị Ủy ban Mặt trận Tổ quốc Việt Nam tỉnh tuyên truyền và tham gia giám sát việc thực hiện Nghị quyết.</w:t>
      </w:r>
    </w:p>
    <w:p w:rsidR="009F50CA"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color w:val="000000"/>
          <w:sz w:val="28"/>
          <w:szCs w:val="28"/>
          <w:lang w:val="nl-NL"/>
        </w:rPr>
      </w:pPr>
      <w:r w:rsidRPr="00116B9C">
        <w:rPr>
          <w:b/>
          <w:sz w:val="28"/>
          <w:szCs w:val="28"/>
        </w:rPr>
        <w:t xml:space="preserve">Điều </w:t>
      </w:r>
      <w:r w:rsidRPr="00116B9C">
        <w:rPr>
          <w:b/>
          <w:sz w:val="28"/>
          <w:szCs w:val="28"/>
          <w:lang w:val="vi-VN"/>
        </w:rPr>
        <w:t>3</w:t>
      </w:r>
      <w:r w:rsidRPr="00116B9C">
        <w:rPr>
          <w:b/>
          <w:sz w:val="28"/>
          <w:szCs w:val="28"/>
        </w:rPr>
        <w:t>. Hiệu lực thi hành</w:t>
      </w:r>
    </w:p>
    <w:p w:rsidR="00116B9C" w:rsidRPr="009F50CA"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color w:val="000000"/>
          <w:sz w:val="28"/>
          <w:szCs w:val="28"/>
          <w:lang w:val="nl-NL"/>
        </w:rPr>
      </w:pPr>
      <w:r w:rsidRPr="00116B9C">
        <w:rPr>
          <w:bCs/>
          <w:sz w:val="28"/>
          <w:szCs w:val="28"/>
        </w:rPr>
        <w:t>Nghị quyết này đã được Hội đồng nhân dân tỉnh Tây Ninh Khóa…Kỳ họp thứ…thông qua ngày …/…/2026 và có hiệu lực từ ngày thông qua./.</w:t>
      </w:r>
    </w:p>
    <w:p w:rsidR="00116B9C" w:rsidRPr="00116B9C"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b/>
          <w:sz w:val="28"/>
          <w:szCs w:val="28"/>
          <w:lang w:val="nl-NL"/>
        </w:rPr>
      </w:pPr>
      <w:r w:rsidRPr="00116B9C">
        <w:rPr>
          <w:rFonts w:eastAsia="SimSun"/>
          <w:b/>
          <w:sz w:val="28"/>
          <w:szCs w:val="28"/>
          <w:lang w:val="nl-NL"/>
        </w:rPr>
        <w:t>V.  DỰ  KIẾN  NGUỒN  LỰC,  ĐIỀU  KIỆN  BẢO  ĐẢM  CHO  VIỆC  THI  HÀNH  NGHỊ  QUYẾT</w:t>
      </w:r>
    </w:p>
    <w:p w:rsidR="00116B9C" w:rsidRPr="00116B9C"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rPr>
          <w:rFonts w:eastAsia="SimSun"/>
          <w:b/>
          <w:bCs/>
          <w:sz w:val="28"/>
          <w:szCs w:val="28"/>
          <w:lang w:val="it-IT"/>
        </w:rPr>
      </w:pPr>
      <w:r w:rsidRPr="00116B9C">
        <w:rPr>
          <w:rFonts w:eastAsia="SimSun"/>
          <w:b/>
          <w:sz w:val="28"/>
          <w:szCs w:val="28"/>
          <w:lang w:val="nl-NL"/>
        </w:rPr>
        <w:t xml:space="preserve">VI.  </w:t>
      </w:r>
      <w:r w:rsidRPr="00116B9C">
        <w:rPr>
          <w:rFonts w:eastAsia="SimSun"/>
          <w:b/>
          <w:bCs/>
          <w:sz w:val="28"/>
          <w:szCs w:val="28"/>
          <w:lang w:val="it-IT"/>
        </w:rPr>
        <w:t>NHỮNG  VẤN  ĐỀ  XIN  Ý  KIẾN  (NẾU  CÓ)</w:t>
      </w:r>
    </w:p>
    <w:p w:rsidR="00116B9C" w:rsidRPr="00116B9C" w:rsidRDefault="00116B9C" w:rsidP="00B27DD5">
      <w:pPr>
        <w:widowControl w:val="0"/>
        <w:pBdr>
          <w:top w:val="dotted" w:sz="4" w:space="0" w:color="FFFFFF"/>
          <w:left w:val="dotted" w:sz="4" w:space="0" w:color="FFFFFF"/>
          <w:bottom w:val="dotted" w:sz="4" w:space="31" w:color="FFFFFF"/>
          <w:right w:val="dotted" w:sz="4" w:space="0" w:color="FFFFFF"/>
        </w:pBdr>
        <w:shd w:val="clear" w:color="auto" w:fill="FFFFFF"/>
        <w:spacing w:before="80" w:after="80" w:line="22" w:lineRule="atLeast"/>
        <w:ind w:firstLine="720"/>
        <w:jc w:val="both"/>
      </w:pPr>
      <w:r w:rsidRPr="00116B9C">
        <w:rPr>
          <w:color w:val="000000"/>
          <w:sz w:val="28"/>
          <w:szCs w:val="28"/>
        </w:rPr>
        <w:t>Ủy  ban  nhân  dân  tỉnh  kính  trình  Hội  đồng  nhân  dân  tỉnh  khóa…….,  kỳ  họp  thứ…….. xem  xét,  thông  qua  và  có  Nghị  quyết  về  nội  dung  trên,  làm  cơ  sở  để  Ủy  ban  nhân  dân  tỉnh  triển  khai  thực  hiện./.</w:t>
      </w:r>
    </w:p>
    <w:tbl>
      <w:tblPr>
        <w:tblW w:w="0" w:type="auto"/>
        <w:tblBorders>
          <w:insideH w:val="single" w:sz="4" w:space="0" w:color="auto"/>
        </w:tblBorders>
        <w:tblLook w:val="04A0" w:firstRow="1" w:lastRow="0" w:firstColumn="1" w:lastColumn="0" w:noHBand="0" w:noVBand="1"/>
      </w:tblPr>
      <w:tblGrid>
        <w:gridCol w:w="4530"/>
        <w:gridCol w:w="4544"/>
      </w:tblGrid>
      <w:tr w:rsidR="00116B9C" w:rsidRPr="00116B9C" w:rsidTr="00BC01DC">
        <w:trPr>
          <w:trHeight w:val="2655"/>
        </w:trPr>
        <w:tc>
          <w:tcPr>
            <w:tcW w:w="4530" w:type="dxa"/>
          </w:tcPr>
          <w:p w:rsidR="00116B9C" w:rsidRPr="00116B9C" w:rsidRDefault="00116B9C" w:rsidP="00116B9C">
            <w:pPr>
              <w:rPr>
                <w:rFonts w:eastAsia="SimSun"/>
                <w:sz w:val="22"/>
                <w:lang w:val="nl-NL"/>
              </w:rPr>
            </w:pPr>
            <w:r w:rsidRPr="00116B9C">
              <w:rPr>
                <w:rFonts w:eastAsia="SimSun"/>
                <w:b/>
                <w:bCs/>
                <w:i/>
                <w:iCs/>
                <w:szCs w:val="28"/>
                <w:lang w:val="nl-NL"/>
              </w:rPr>
              <w:t>Nơi  nhận:</w:t>
            </w:r>
          </w:p>
          <w:p w:rsidR="00116B9C" w:rsidRPr="00116B9C" w:rsidRDefault="00116B9C" w:rsidP="00116B9C">
            <w:pPr>
              <w:rPr>
                <w:rFonts w:eastAsia="SimSun"/>
                <w:lang w:val="nl-NL"/>
              </w:rPr>
            </w:pPr>
            <w:r w:rsidRPr="00116B9C">
              <w:rPr>
                <w:rFonts w:eastAsia="SimSun"/>
                <w:sz w:val="22"/>
                <w:lang w:val="nl-NL"/>
              </w:rPr>
              <w:t>-  TT.TU,  TT.HĐND  tỉnh;</w:t>
            </w:r>
          </w:p>
          <w:p w:rsidR="00116B9C" w:rsidRPr="00116B9C" w:rsidRDefault="00116B9C" w:rsidP="00116B9C">
            <w:pPr>
              <w:rPr>
                <w:rFonts w:eastAsia="SimSun"/>
                <w:lang w:val="nl-NL"/>
              </w:rPr>
            </w:pPr>
            <w:r w:rsidRPr="00116B9C">
              <w:rPr>
                <w:rFonts w:eastAsia="SimSun"/>
                <w:sz w:val="22"/>
                <w:lang w:val="nl-NL"/>
              </w:rPr>
              <w:t>-  Các  vị  đại  biểu  HĐND  tỉnh;</w:t>
            </w:r>
          </w:p>
          <w:p w:rsidR="00116B9C" w:rsidRPr="00116B9C" w:rsidRDefault="00116B9C" w:rsidP="00116B9C">
            <w:pPr>
              <w:rPr>
                <w:rFonts w:eastAsia="SimSun"/>
                <w:lang w:val="nl-NL"/>
              </w:rPr>
            </w:pPr>
            <w:r w:rsidRPr="00116B9C">
              <w:rPr>
                <w:rFonts w:eastAsia="SimSun"/>
                <w:sz w:val="22"/>
                <w:lang w:val="nl-NL"/>
              </w:rPr>
              <w:t>-  Các  vị  đại  biểu  QH  tỉnh;</w:t>
            </w:r>
          </w:p>
          <w:p w:rsidR="00116B9C" w:rsidRPr="00116B9C" w:rsidRDefault="00116B9C" w:rsidP="00116B9C">
            <w:pPr>
              <w:rPr>
                <w:rFonts w:eastAsia="SimSun"/>
                <w:lang w:val="nl-NL"/>
              </w:rPr>
            </w:pPr>
            <w:r w:rsidRPr="00116B9C">
              <w:rPr>
                <w:rFonts w:eastAsia="SimSun"/>
                <w:sz w:val="22"/>
                <w:lang w:val="nl-NL"/>
              </w:rPr>
              <w:t>-  TT.UBMTTQVN  và  các  Đoàn  thể  tỉnh;</w:t>
            </w:r>
          </w:p>
          <w:p w:rsidR="00116B9C" w:rsidRPr="00116B9C" w:rsidRDefault="00116B9C" w:rsidP="00116B9C">
            <w:pPr>
              <w:rPr>
                <w:rFonts w:eastAsia="SimSun"/>
                <w:lang w:val="nl-NL"/>
              </w:rPr>
            </w:pPr>
            <w:r w:rsidRPr="00116B9C">
              <w:rPr>
                <w:rFonts w:eastAsia="SimSun"/>
                <w:sz w:val="22"/>
                <w:lang w:val="nl-NL"/>
              </w:rPr>
              <w:t>-  CT,  PCT.UBND  tỉnh;</w:t>
            </w:r>
          </w:p>
          <w:p w:rsidR="00116B9C" w:rsidRPr="00116B9C" w:rsidRDefault="00116B9C" w:rsidP="00116B9C">
            <w:pPr>
              <w:rPr>
                <w:rFonts w:eastAsia="SimSun"/>
                <w:lang w:val="nl-NL"/>
              </w:rPr>
            </w:pPr>
            <w:r w:rsidRPr="00116B9C">
              <w:rPr>
                <w:rFonts w:eastAsia="SimSun"/>
                <w:sz w:val="22"/>
                <w:lang w:val="nl-NL"/>
              </w:rPr>
              <w:t>-  VP  ĐĐBQH  và  HĐND  tỉnh;</w:t>
            </w:r>
          </w:p>
          <w:p w:rsidR="00116B9C" w:rsidRPr="00116B9C" w:rsidRDefault="00116B9C" w:rsidP="00116B9C">
            <w:pPr>
              <w:rPr>
                <w:rFonts w:eastAsia="SimSun"/>
                <w:lang w:val="nl-NL"/>
              </w:rPr>
            </w:pPr>
            <w:r w:rsidRPr="00116B9C">
              <w:rPr>
                <w:rFonts w:eastAsia="SimSun"/>
                <w:sz w:val="22"/>
                <w:lang w:val="pl-PL"/>
              </w:rPr>
              <w:t>-</w:t>
            </w:r>
            <w:r w:rsidRPr="00116B9C">
              <w:rPr>
                <w:rFonts w:eastAsia="SimSun"/>
                <w:sz w:val="22"/>
                <w:lang w:val="nl-NL"/>
              </w:rPr>
              <w:t xml:space="preserve">  Các  sở,  ngành  tỉnh;</w:t>
            </w:r>
          </w:p>
          <w:p w:rsidR="00116B9C" w:rsidRPr="00116B9C" w:rsidRDefault="00116B9C" w:rsidP="00116B9C">
            <w:pPr>
              <w:rPr>
                <w:rFonts w:eastAsia="SimSun"/>
                <w:lang w:val="pl-PL"/>
              </w:rPr>
            </w:pPr>
            <w:r w:rsidRPr="00116B9C">
              <w:rPr>
                <w:rFonts w:eastAsia="SimSun"/>
                <w:sz w:val="22"/>
                <w:lang w:val="pl-PL"/>
              </w:rPr>
              <w:t>-  UBND  các  xã,  phường;</w:t>
            </w:r>
          </w:p>
          <w:p w:rsidR="00116B9C" w:rsidRPr="00116B9C" w:rsidRDefault="00116B9C" w:rsidP="00116B9C">
            <w:pPr>
              <w:rPr>
                <w:rFonts w:eastAsia="SimSun"/>
                <w:lang w:val="pl-PL"/>
              </w:rPr>
            </w:pPr>
            <w:r w:rsidRPr="00116B9C">
              <w:rPr>
                <w:rFonts w:eastAsia="SimSun"/>
                <w:sz w:val="22"/>
                <w:lang w:val="pl-PL"/>
              </w:rPr>
              <w:t>-  CVP,  PCVP.UBND  tỉnh;</w:t>
            </w:r>
          </w:p>
          <w:p w:rsidR="00116B9C" w:rsidRPr="00116B9C" w:rsidRDefault="00116B9C" w:rsidP="00116B9C">
            <w:pPr>
              <w:rPr>
                <w:rFonts w:eastAsia="SimSun"/>
                <w:lang w:val="pl-PL"/>
              </w:rPr>
            </w:pPr>
            <w:r w:rsidRPr="00116B9C">
              <w:rPr>
                <w:rFonts w:eastAsia="SimSun"/>
                <w:sz w:val="22"/>
                <w:lang w:val="pl-PL"/>
              </w:rPr>
              <w:t>-  Phòng:  KTTC,  TH;</w:t>
            </w:r>
          </w:p>
          <w:p w:rsidR="00116B9C" w:rsidRPr="00116B9C" w:rsidRDefault="00116B9C" w:rsidP="00116B9C">
            <w:pPr>
              <w:rPr>
                <w:rFonts w:eastAsia="SimSun"/>
                <w:sz w:val="22"/>
              </w:rPr>
            </w:pPr>
            <w:r w:rsidRPr="00116B9C">
              <w:rPr>
                <w:rFonts w:eastAsia="SimSun"/>
                <w:sz w:val="22"/>
              </w:rPr>
              <w:t>-  Lưu:  VT.</w:t>
            </w:r>
          </w:p>
          <w:p w:rsidR="00116B9C" w:rsidRPr="00116B9C" w:rsidRDefault="00116B9C" w:rsidP="00116B9C">
            <w:pPr>
              <w:spacing w:line="230" w:lineRule="auto"/>
              <w:jc w:val="both"/>
              <w:rPr>
                <w:rFonts w:eastAsia="SimSun"/>
                <w:sz w:val="22"/>
                <w:szCs w:val="22"/>
              </w:rPr>
            </w:pPr>
          </w:p>
        </w:tc>
        <w:tc>
          <w:tcPr>
            <w:tcW w:w="4544" w:type="dxa"/>
          </w:tcPr>
          <w:p w:rsidR="00116B9C" w:rsidRPr="00116B9C" w:rsidRDefault="00116B9C" w:rsidP="00116B9C">
            <w:pPr>
              <w:tabs>
                <w:tab w:val="left" w:pos="2700"/>
                <w:tab w:val="left" w:pos="10081"/>
                <w:tab w:val="left" w:pos="10261"/>
                <w:tab w:val="left" w:pos="10801"/>
              </w:tabs>
              <w:ind w:right="-116"/>
              <w:jc w:val="center"/>
              <w:rPr>
                <w:rFonts w:eastAsia="SimSun"/>
              </w:rPr>
            </w:pPr>
            <w:r w:rsidRPr="00116B9C">
              <w:rPr>
                <w:rFonts w:eastAsia="SimSun"/>
                <w:b/>
                <w:bCs/>
                <w:sz w:val="27"/>
                <w:szCs w:val="27"/>
              </w:rPr>
              <w:t>TM.  ỦY  BAN  NHÂN  DÂN</w:t>
            </w:r>
          </w:p>
          <w:p w:rsidR="00116B9C" w:rsidRPr="00116B9C" w:rsidRDefault="00116B9C" w:rsidP="00116B9C">
            <w:pPr>
              <w:keepNext/>
              <w:tabs>
                <w:tab w:val="center" w:pos="4860"/>
              </w:tabs>
              <w:spacing w:line="230" w:lineRule="auto"/>
              <w:jc w:val="center"/>
              <w:outlineLvl w:val="0"/>
              <w:rPr>
                <w:rFonts w:eastAsia="SimSun"/>
                <w:b/>
                <w:sz w:val="28"/>
                <w:szCs w:val="28"/>
                <w:lang w:val="nl-NL"/>
              </w:rPr>
            </w:pPr>
            <w:r w:rsidRPr="00116B9C">
              <w:rPr>
                <w:rFonts w:eastAsia="SimSun"/>
                <w:b/>
                <w:bCs/>
                <w:sz w:val="27"/>
                <w:szCs w:val="27"/>
              </w:rPr>
              <w:t>CHỦ  TỊCH</w:t>
            </w:r>
          </w:p>
        </w:tc>
      </w:tr>
      <w:bookmarkEnd w:id="1"/>
    </w:tbl>
    <w:p w:rsidR="00116B9C" w:rsidRPr="00116B9C" w:rsidRDefault="00116B9C" w:rsidP="00116B9C">
      <w:pPr>
        <w:spacing w:line="360" w:lineRule="exact"/>
        <w:ind w:firstLine="567"/>
        <w:jc w:val="both"/>
        <w:rPr>
          <w:bCs/>
          <w:sz w:val="28"/>
          <w:szCs w:val="28"/>
        </w:rPr>
      </w:pPr>
    </w:p>
    <w:sectPr w:rsidR="00116B9C" w:rsidRPr="00116B9C">
      <w:headerReference w:type="default" r:id="rId8"/>
      <w:pgSz w:w="11907" w:h="16840"/>
      <w:pgMar w:top="1134" w:right="964" w:bottom="1134" w:left="1701" w:header="720" w:footer="465"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161" w:rsidRDefault="00A63161">
      <w:r>
        <w:separator/>
      </w:r>
    </w:p>
  </w:endnote>
  <w:endnote w:type="continuationSeparator" w:id="0">
    <w:p w:rsidR="00A63161" w:rsidRDefault="00A63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161" w:rsidRDefault="00A63161">
      <w:r>
        <w:separator/>
      </w:r>
    </w:p>
  </w:footnote>
  <w:footnote w:type="continuationSeparator" w:id="0">
    <w:p w:rsidR="00A63161" w:rsidRDefault="00A63161">
      <w:r>
        <w:continuationSeparator/>
      </w:r>
    </w:p>
  </w:footnote>
  <w:footnote w:id="1">
    <w:p w:rsidR="00D71676" w:rsidRDefault="00D71676" w:rsidP="00D71676">
      <w:pPr>
        <w:pStyle w:val="FootnoteText"/>
      </w:pPr>
      <w:r>
        <w:rPr>
          <w:rStyle w:val="FootnoteReference"/>
        </w:rPr>
        <w:footnoteRef/>
      </w:r>
      <w:r>
        <w:t xml:space="preserve"> Điều 26. Đơn giá thuê đất</w:t>
      </w:r>
    </w:p>
    <w:p w:rsidR="00D71676" w:rsidRDefault="00D71676" w:rsidP="00D71676">
      <w:pPr>
        <w:pStyle w:val="FootnoteText"/>
      </w:pPr>
      <w:r>
        <w:t>1. Trường hợp thuê đất trả tiền thuê đất hằng năm không thông qua hình thức đấu giá:</w:t>
      </w:r>
    </w:p>
    <w:p w:rsidR="00D71676" w:rsidRDefault="00D71676" w:rsidP="00D71676">
      <w:pPr>
        <w:pStyle w:val="FootnoteText"/>
      </w:pPr>
      <w:r>
        <w:t>Đơn giá thuê đất hằng năm = Tỷ lệ phần trăm (%) tính đơn giá thuê đất nhân (x) Giá đất tính tiền thuê đất. Trong đó:</w:t>
      </w:r>
    </w:p>
    <w:p w:rsidR="00D71676" w:rsidRDefault="00D71676" w:rsidP="00D71676">
      <w:pPr>
        <w:pStyle w:val="FootnoteText"/>
      </w:pPr>
      <w:r>
        <w:t>a) Tỷ lệ phần trăm (%) tính đơn giá thuê đất một năm là từ 0,25% đến 3%.</w:t>
      </w:r>
    </w:p>
    <w:p w:rsidR="00D71676" w:rsidRDefault="00D71676" w:rsidP="00D71676">
      <w:pPr>
        <w:pStyle w:val="FootnoteText"/>
      </w:pPr>
      <w:r>
        <w:t xml:space="preserve">Căn cứ vào thực tế địa phương, </w:t>
      </w:r>
      <w:r w:rsidRPr="00B0558A">
        <w:rPr>
          <w:u w:val="single"/>
        </w:rPr>
        <w:t>Ủy ban nhân dân cấp tỉnh quy định</w:t>
      </w:r>
      <w:r>
        <w:t xml:space="preserve"> mức tỷ lệ phần trăm (%) tính đơn giá thuê đất theo từng khu vực, tuyến đường tương ứng với từng mục đích sử dụng đất </w:t>
      </w:r>
      <w:r w:rsidRPr="007161F4">
        <w:rPr>
          <w:u w:val="single"/>
        </w:rPr>
        <w:t>sau khi xin ý kiến của Hội đồng nhân dân cùng cấp</w:t>
      </w:r>
      <w:r>
        <w:t>.</w:t>
      </w:r>
    </w:p>
  </w:footnote>
  <w:footnote w:id="2">
    <w:p w:rsidR="00D71676" w:rsidRDefault="00D71676" w:rsidP="00D71676">
      <w:pPr>
        <w:pStyle w:val="FootnoteText"/>
      </w:pPr>
      <w:r>
        <w:rPr>
          <w:rStyle w:val="FootnoteReference"/>
        </w:rPr>
        <w:footnoteRef/>
      </w:r>
      <w:r>
        <w:t xml:space="preserve"> Điều 27. Đơn giá thuê đất xây dựng công trình ngầm</w:t>
      </w:r>
    </w:p>
    <w:p w:rsidR="00D71676" w:rsidRDefault="00D71676" w:rsidP="00D71676">
      <w:pPr>
        <w:pStyle w:val="FootnoteText"/>
      </w:pPr>
      <w:r>
        <w:t>2. Đơn giá thuê đất đối với đất được Nhà nước cho thuê để xây dựng công trình ngầm (không phải là phần ngầm của công trình xây dựng trên mặt đất) theo quy định tại khoản 1 Điều 120 Luật Đất đai, được tính như sau:</w:t>
      </w:r>
    </w:p>
    <w:p w:rsidR="00D71676" w:rsidRDefault="00D71676" w:rsidP="00D71676">
      <w:pPr>
        <w:pStyle w:val="FootnoteText"/>
      </w:pPr>
      <w:r>
        <w:t>……</w:t>
      </w:r>
    </w:p>
    <w:p w:rsidR="00D71676" w:rsidRDefault="00D71676" w:rsidP="00D71676">
      <w:pPr>
        <w:pStyle w:val="FootnoteText"/>
      </w:pPr>
      <w:r>
        <w:t xml:space="preserve">c) Căn cứ vào thực tế địa phương, </w:t>
      </w:r>
      <w:r w:rsidRPr="00B0558A">
        <w:rPr>
          <w:u w:val="single"/>
        </w:rPr>
        <w:t>Ủy ban nhân dân cấp tỉnh quy định</w:t>
      </w:r>
      <w:r>
        <w:t xml:space="preserve"> cụ thể mức đơn giá thuê đất quy định tại điểm a, điểm b khoản này </w:t>
      </w:r>
      <w:r w:rsidRPr="007161F4">
        <w:rPr>
          <w:u w:val="single"/>
        </w:rPr>
        <w:t>sau khi xin ý kiến của Hội đồng nhân dân cùng cấp</w:t>
      </w:r>
      <w:r>
        <w:t>.</w:t>
      </w:r>
    </w:p>
  </w:footnote>
  <w:footnote w:id="3">
    <w:p w:rsidR="00D71676" w:rsidRDefault="00D71676" w:rsidP="00D71676">
      <w:pPr>
        <w:pStyle w:val="FootnoteText"/>
      </w:pPr>
      <w:r>
        <w:rPr>
          <w:rStyle w:val="FootnoteReference"/>
        </w:rPr>
        <w:footnoteRef/>
      </w:r>
      <w:r>
        <w:t xml:space="preserve"> Điều 28. Đơn giá thuê đất đối với đất có mặt nước</w:t>
      </w:r>
    </w:p>
    <w:p w:rsidR="00D71676" w:rsidRDefault="00D71676" w:rsidP="00D71676">
      <w:pPr>
        <w:pStyle w:val="FootnoteText"/>
      </w:pPr>
      <w:r>
        <w:t>…</w:t>
      </w:r>
    </w:p>
    <w:p w:rsidR="00D71676" w:rsidRDefault="00D71676" w:rsidP="00D71676">
      <w:pPr>
        <w:pStyle w:val="FootnoteText"/>
      </w:pPr>
      <w:r>
        <w:t xml:space="preserve">3. Căn cứ vào thực tế địa phương, </w:t>
      </w:r>
      <w:r w:rsidRPr="00B0558A">
        <w:rPr>
          <w:u w:val="single"/>
        </w:rPr>
        <w:t>Ủy ban nhân dân cấp tỉnh quy định</w:t>
      </w:r>
      <w:r>
        <w:t xml:space="preserve"> cụ thể mức đơn giá thuê đất quy định tại khoản 2 Điều này </w:t>
      </w:r>
      <w:r w:rsidRPr="007161F4">
        <w:rPr>
          <w:u w:val="single"/>
        </w:rPr>
        <w:t>sau khi xin ý kiến của Hội đồng nhân dân cùng cấp</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E3" w:rsidRDefault="0014466C">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76F65">
      <w:rPr>
        <w:rFonts w:ascii="Times New Roman" w:hAnsi="Times New Roman"/>
        <w:noProof/>
      </w:rPr>
      <w:t>2</w:t>
    </w:r>
    <w:r>
      <w:rPr>
        <w:rFonts w:ascii="Times New Roman" w:hAnsi="Times New Roman"/>
      </w:rPr>
      <w:fldChar w:fldCharType="end"/>
    </w:r>
  </w:p>
  <w:p w:rsidR="000022E3" w:rsidRDefault="000022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B1CE1"/>
    <w:multiLevelType w:val="multilevel"/>
    <w:tmpl w:val="108622BE"/>
    <w:lvl w:ilvl="0">
      <w:start w:val="1"/>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595243A"/>
    <w:multiLevelType w:val="multilevel"/>
    <w:tmpl w:val="0C9049EE"/>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6E55CEA"/>
    <w:multiLevelType w:val="multilevel"/>
    <w:tmpl w:val="7F22D35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4BEC5B15"/>
    <w:multiLevelType w:val="multilevel"/>
    <w:tmpl w:val="FCECA91A"/>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0436253"/>
    <w:multiLevelType w:val="multilevel"/>
    <w:tmpl w:val="AA1C60CE"/>
    <w:lvl w:ilvl="0">
      <w:start w:val="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5BA76B2F"/>
    <w:multiLevelType w:val="multilevel"/>
    <w:tmpl w:val="61F8C6D2"/>
    <w:lvl w:ilvl="0">
      <w:start w:val="1"/>
      <w:numFmt w:val="lowerLetter"/>
      <w:lvlText w:val="%1)"/>
      <w:lvlJc w:val="left"/>
      <w:pPr>
        <w:ind w:left="927" w:hanging="360"/>
      </w:pPr>
      <w:rPr>
        <w:rFonts w:hint="default"/>
        <w:i/>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79F0FCB"/>
    <w:multiLevelType w:val="multilevel"/>
    <w:tmpl w:val="3D540CA0"/>
    <w:lvl w:ilvl="0">
      <w:start w:val="2"/>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15:restartNumberingAfterBreak="0">
    <w:nsid w:val="78DB3D7A"/>
    <w:multiLevelType w:val="multilevel"/>
    <w:tmpl w:val="76A6216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7C454868"/>
    <w:multiLevelType w:val="multilevel"/>
    <w:tmpl w:val="13EA61D0"/>
    <w:lvl w:ilvl="0">
      <w:start w:val="2"/>
      <w:numFmt w:val="decimal"/>
      <w:lvlText w:val="%1."/>
      <w:lvlJc w:val="left"/>
      <w:pPr>
        <w:ind w:left="432" w:hanging="432"/>
      </w:pPr>
      <w:rPr>
        <w:rFonts w:hint="default"/>
        <w:b w:val="0"/>
        <w:color w:val="auto"/>
      </w:rPr>
    </w:lvl>
    <w:lvl w:ilvl="1">
      <w:start w:val="2"/>
      <w:numFmt w:val="decimal"/>
      <w:lvlText w:val="%1.%2."/>
      <w:lvlJc w:val="left"/>
      <w:pPr>
        <w:ind w:left="1440" w:hanging="720"/>
      </w:pPr>
      <w:rPr>
        <w:rFonts w:hint="default"/>
        <w:b/>
        <w:i/>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6120" w:hanging="180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920" w:hanging="2160"/>
      </w:pPr>
      <w:rPr>
        <w:rFonts w:hint="default"/>
        <w:b w:val="0"/>
        <w:color w:val="auto"/>
      </w:rPr>
    </w:lvl>
  </w:abstractNum>
  <w:num w:numId="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6"/>
  </w:num>
  <w:num w:numId="6">
    <w:abstractNumId w:val="4"/>
  </w:num>
  <w:num w:numId="7">
    <w:abstractNumId w:val="2"/>
  </w:num>
  <w:num w:numId="8">
    <w:abstractNumId w:val="8"/>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E3"/>
    <w:rsid w:val="000022E3"/>
    <w:rsid w:val="00116B9C"/>
    <w:rsid w:val="0014466C"/>
    <w:rsid w:val="00176F65"/>
    <w:rsid w:val="00194ECA"/>
    <w:rsid w:val="001C6FC3"/>
    <w:rsid w:val="003263A3"/>
    <w:rsid w:val="00733760"/>
    <w:rsid w:val="008C4AC2"/>
    <w:rsid w:val="009E5124"/>
    <w:rsid w:val="009F50CA"/>
    <w:rsid w:val="00A34BD5"/>
    <w:rsid w:val="00A63161"/>
    <w:rsid w:val="00AA4216"/>
    <w:rsid w:val="00B27DD5"/>
    <w:rsid w:val="00BD6DF8"/>
    <w:rsid w:val="00D71676"/>
    <w:rsid w:val="00EE2E25"/>
    <w:rsid w:val="00FB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804A5D-908D-4E54-A82F-7E3F44BA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sz w:val="32"/>
      <w:szCs w:val="32"/>
    </w:rPr>
  </w:style>
  <w:style w:type="paragraph" w:styleId="Heading2">
    <w:name w:val="heading 2"/>
    <w:basedOn w:val="Normal"/>
    <w:next w:val="Normal"/>
    <w:link w:val="Heading2Char"/>
    <w:qFormat/>
    <w:pPr>
      <w:keepNext/>
      <w:outlineLvl w:val="1"/>
    </w:pPr>
    <w:rPr>
      <w:rFonts w:ascii="VNI-Times" w:hAnsi="VNI-Times"/>
      <w:b/>
      <w:szCs w:val="20"/>
    </w:rPr>
  </w:style>
  <w:style w:type="paragraph" w:styleId="Heading3">
    <w:name w:val="heading 3"/>
    <w:basedOn w:val="Normal"/>
    <w:next w:val="Normal"/>
    <w:link w:val="Heading3Char"/>
    <w:qFormat/>
    <w:pPr>
      <w:keepNext/>
      <w:spacing w:before="240" w:after="60"/>
      <w:outlineLvl w:val="2"/>
    </w:pPr>
    <w:rPr>
      <w:rFonts w:ascii="Arial" w:hAnsi="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pPr>
      <w:keepNext/>
      <w:keepLines/>
      <w:spacing w:before="80" w:after="40"/>
      <w:outlineLvl w:val="4"/>
    </w:pPr>
    <w:rPr>
      <w:rFonts w:ascii="Arial" w:eastAsia="Arial" w:hAnsi="Arial" w:cs="Arial"/>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2Char">
    <w:name w:val="Heading 2 Char"/>
    <w:basedOn w:val="DefaultParagraphFont"/>
    <w:link w:val="Heading2"/>
    <w:uiPriority w:val="9"/>
    <w:rPr>
      <w:rFonts w:ascii="Arial" w:eastAsia="Arial" w:hAnsi="Arial" w:cs="Arial"/>
      <w:color w:val="2E74B5" w:themeColor="accent1" w:themeShade="BF"/>
      <w:sz w:val="32"/>
      <w:szCs w:val="32"/>
    </w:rPr>
  </w:style>
  <w:style w:type="character" w:customStyle="1" w:styleId="Heading5Char">
    <w:name w:val="Heading 5 Char"/>
    <w:basedOn w:val="DefaultParagraphFont"/>
    <w:link w:val="Heading5"/>
    <w:uiPriority w:val="9"/>
    <w:rPr>
      <w:rFonts w:ascii="Arial" w:eastAsia="Arial" w:hAnsi="Arial" w:cs="Arial"/>
      <w:color w:val="2E74B5"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Header">
    <w:name w:val="header"/>
    <w:basedOn w:val="Normal"/>
    <w:link w:val="HeaderChar"/>
    <w:uiPriority w:val="99"/>
    <w:pPr>
      <w:tabs>
        <w:tab w:val="center" w:pos="4320"/>
        <w:tab w:val="right" w:pos="8640"/>
      </w:tabs>
    </w:pPr>
    <w:rPr>
      <w:rFonts w:ascii="VNI-Times" w:hAnsi="VNI-Times"/>
      <w:sz w:val="26"/>
      <w:szCs w:val="20"/>
    </w:r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val="en-US" w:eastAsia="en-US"/>
    </w:rPr>
  </w:style>
  <w:style w:type="paragraph" w:styleId="BodyTextIndent">
    <w:name w:val="Body Text Indent"/>
    <w:basedOn w:val="Normal"/>
    <w:link w:val="BodyTextIndentChar"/>
    <w:pPr>
      <w:spacing w:before="100" w:beforeAutospacing="1" w:after="100" w:afterAutospacing="1"/>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link w:val="BodyTextIndent"/>
    <w:rPr>
      <w:sz w:val="24"/>
      <w:szCs w:val="24"/>
    </w:rPr>
  </w:style>
  <w:style w:type="character" w:customStyle="1" w:styleId="Heading3Char">
    <w:name w:val="Heading 3 Char"/>
    <w:link w:val="Heading3"/>
    <w:rPr>
      <w:rFonts w:ascii="Arial" w:hAnsi="Arial" w:cs="Arial"/>
      <w:b/>
      <w:bCs/>
      <w:sz w:val="26"/>
      <w:szCs w:val="26"/>
    </w:rPr>
  </w:style>
  <w:style w:type="character" w:customStyle="1" w:styleId="Heading4Char">
    <w:name w:val="Heading 4 Char"/>
    <w:link w:val="Heading4"/>
    <w:rPr>
      <w:b/>
      <w:bCs/>
      <w:sz w:val="28"/>
      <w:szCs w:val="28"/>
    </w:rPr>
  </w:style>
  <w:style w:type="character" w:customStyle="1" w:styleId="Heading9Char">
    <w:name w:val="Heading 9 Char"/>
    <w:link w:val="Heading9"/>
    <w:rPr>
      <w:rFonts w:ascii="Arial" w:hAnsi="Arial" w:cs="Arial"/>
      <w:sz w:val="22"/>
      <w:szCs w:val="22"/>
    </w:rPr>
  </w:style>
  <w:style w:type="paragraph" w:styleId="FootnoteText">
    <w:name w:val="footnote text"/>
    <w:basedOn w:val="Normal"/>
    <w:link w:val="FootnoteTextChar"/>
    <w:uiPriority w:val="99"/>
    <w:qFormat/>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uiPriority w:val="99"/>
    <w:qFormat/>
    <w:rPr>
      <w:vertAlign w:val="superscript"/>
    </w:rPr>
  </w:style>
  <w:style w:type="paragraph" w:styleId="NormalWeb">
    <w:name w:val="Normal (Web)"/>
    <w:basedOn w:val="Normal"/>
    <w:link w:val="NormalWebChar"/>
    <w:uiPriority w:val="99"/>
    <w:unhideWhenUsed/>
    <w:pPr>
      <w:spacing w:before="100" w:beforeAutospacing="1" w:after="100" w:afterAutospacing="1" w:line="264" w:lineRule="auto"/>
    </w:pPr>
    <w:rPr>
      <w:rFonts w:eastAsia="Yu Mincho"/>
      <w:sz w:val="20"/>
      <w:szCs w:val="20"/>
    </w:rPr>
  </w:style>
  <w:style w:type="character" w:customStyle="1" w:styleId="NormalWebChar">
    <w:name w:val="Normal (Web) Char"/>
    <w:link w:val="NormalWeb"/>
    <w:uiPriority w:val="99"/>
    <w:rPr>
      <w:rFonts w:eastAsia="Yu Mincho"/>
      <w:lang w:val="en-US" w:eastAsia="en-US"/>
    </w:rPr>
  </w:style>
  <w:style w:type="character" w:styleId="Hyperlink">
    <w:name w:val="Hyperlink"/>
    <w:uiPriority w:val="99"/>
    <w:unhideWhenUsed/>
    <w:rPr>
      <w:color w:val="0000FF"/>
      <w:u w:val="single"/>
    </w:rPr>
  </w:style>
  <w:style w:type="character" w:customStyle="1" w:styleId="HeaderChar">
    <w:name w:val="Header Char"/>
    <w:link w:val="Header"/>
    <w:uiPriority w:val="99"/>
    <w:rPr>
      <w:rFonts w:ascii="VNI-Times" w:hAnsi="VNI-Times"/>
      <w:sz w:val="26"/>
      <w:lang w:eastAsia="en-US"/>
    </w:rPr>
  </w:style>
  <w:style w:type="character" w:customStyle="1" w:styleId="Heading1Char">
    <w:name w:val="Heading 1 Char"/>
    <w:link w:val="Heading1"/>
    <w:uiPriority w:val="9"/>
    <w:rPr>
      <w:rFonts w:ascii="Calibri Light" w:eastAsia="Times New Roman" w:hAnsi="Calibri Light" w:cs="Times New Roman"/>
      <w:b/>
      <w:bCs/>
      <w:sz w:val="32"/>
      <w:szCs w:val="32"/>
    </w:rPr>
  </w:style>
  <w:style w:type="character" w:styleId="Emphasis">
    <w:name w:val="Emphasis"/>
    <w:qFormat/>
    <w:rPr>
      <w:i/>
      <w:iCs/>
    </w:rPr>
  </w:style>
  <w:style w:type="paragraph" w:styleId="BodyText">
    <w:name w:val="Body Text"/>
    <w:basedOn w:val="Normal"/>
    <w:link w:val="BodyTextChar"/>
    <w:uiPriority w:val="99"/>
    <w:semiHidden/>
    <w:unhideWhenUsed/>
    <w:rsid w:val="00116B9C"/>
    <w:pPr>
      <w:spacing w:after="120"/>
    </w:pPr>
  </w:style>
  <w:style w:type="character" w:customStyle="1" w:styleId="BodyTextChar">
    <w:name w:val="Body Text Char"/>
    <w:basedOn w:val="DefaultParagraphFont"/>
    <w:link w:val="BodyText"/>
    <w:uiPriority w:val="99"/>
    <w:semiHidden/>
    <w:rsid w:val="00116B9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5FA03-6683-4EE9-939B-0715F6DE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subject/>
  <dc:creator>Đại Nguyễn Đăng</dc:creator>
  <cp:keywords/>
  <cp:lastModifiedBy>PC</cp:lastModifiedBy>
  <cp:revision>2</cp:revision>
  <cp:lastPrinted>2026-01-28T08:28:00Z</cp:lastPrinted>
  <dcterms:created xsi:type="dcterms:W3CDTF">2026-02-03T02:26:00Z</dcterms:created>
  <dcterms:modified xsi:type="dcterms:W3CDTF">2026-02-03T02:26:00Z</dcterms:modified>
</cp:coreProperties>
</file>